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F4069C">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F4069C">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F4069C">
        <w:trPr>
          <w:trHeight w:val="68"/>
          <w:jc w:val="center"/>
        </w:trPr>
        <w:tc>
          <w:tcPr>
            <w:tcW w:w="8782" w:type="dxa"/>
            <w:gridSpan w:val="2"/>
          </w:tcPr>
          <w:p w14:paraId="1D8DD3C9" w14:textId="4D56D2AD"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Fabrizio Bezzo, 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3D1559AC" w:rsidR="00E978D0" w:rsidRPr="00B57B36" w:rsidRDefault="00F4069C" w:rsidP="00F4069C">
      <w:pPr>
        <w:pStyle w:val="CETTitle"/>
        <w:jc w:val="both"/>
      </w:pPr>
      <w:r w:rsidRPr="00C53E2C">
        <w:t xml:space="preserve">Cookie Enriched </w:t>
      </w:r>
      <w:r w:rsidR="00ED104F">
        <w:t>w</w:t>
      </w:r>
      <w:r w:rsidRPr="00C53E2C">
        <w:t>ith Quinoa (</w:t>
      </w:r>
      <w:r w:rsidRPr="00F4069C">
        <w:rPr>
          <w:i/>
          <w:iCs/>
        </w:rPr>
        <w:t xml:space="preserve">Chenopodium </w:t>
      </w:r>
      <w:r>
        <w:rPr>
          <w:i/>
          <w:iCs/>
        </w:rPr>
        <w:t>q</w:t>
      </w:r>
      <w:r w:rsidRPr="00F4069C">
        <w:rPr>
          <w:i/>
          <w:iCs/>
        </w:rPr>
        <w:t>uinoa</w:t>
      </w:r>
      <w:r w:rsidRPr="00C53E2C">
        <w:t xml:space="preserve">) </w:t>
      </w:r>
      <w:r>
        <w:t>a</w:t>
      </w:r>
      <w:r w:rsidRPr="00C53E2C">
        <w:t xml:space="preserve">nd Enzymatic Hydrolysate </w:t>
      </w:r>
      <w:r>
        <w:t>o</w:t>
      </w:r>
      <w:r w:rsidRPr="00C53E2C">
        <w:t>f Anchovy (</w:t>
      </w:r>
      <w:proofErr w:type="spellStart"/>
      <w:r w:rsidRPr="00F4069C">
        <w:rPr>
          <w:i/>
          <w:iCs/>
        </w:rPr>
        <w:t>Engraulis</w:t>
      </w:r>
      <w:proofErr w:type="spellEnd"/>
      <w:r w:rsidRPr="00F4069C">
        <w:rPr>
          <w:i/>
          <w:iCs/>
        </w:rPr>
        <w:t xml:space="preserve"> </w:t>
      </w:r>
      <w:proofErr w:type="spellStart"/>
      <w:r>
        <w:rPr>
          <w:i/>
          <w:iCs/>
        </w:rPr>
        <w:t>r</w:t>
      </w:r>
      <w:r w:rsidRPr="00F4069C">
        <w:rPr>
          <w:i/>
          <w:iCs/>
        </w:rPr>
        <w:t>ingens</w:t>
      </w:r>
      <w:proofErr w:type="spellEnd"/>
      <w:r w:rsidRPr="00C53E2C">
        <w:t xml:space="preserve">) </w:t>
      </w:r>
      <w:r>
        <w:t>t</w:t>
      </w:r>
      <w:r w:rsidRPr="00C53E2C">
        <w:t xml:space="preserve">o Overcome </w:t>
      </w:r>
      <w:proofErr w:type="spellStart"/>
      <w:r w:rsidRPr="00C53E2C">
        <w:t>Anemia</w:t>
      </w:r>
      <w:proofErr w:type="spellEnd"/>
      <w:r w:rsidRPr="00C53E2C">
        <w:t xml:space="preserve"> </w:t>
      </w:r>
      <w:r>
        <w:t>a</w:t>
      </w:r>
      <w:r w:rsidRPr="00C53E2C">
        <w:t>nd Malnutrition</w:t>
      </w:r>
    </w:p>
    <w:p w14:paraId="5EAAB419" w14:textId="09F5A48C" w:rsidR="00D63CC5" w:rsidRPr="007139D4" w:rsidRDefault="00D63CC5" w:rsidP="00B57E6F">
      <w:pPr>
        <w:pStyle w:val="CETAuthors"/>
        <w:rPr>
          <w:lang w:val="es-PE"/>
        </w:rPr>
      </w:pPr>
      <w:r w:rsidRPr="007139D4">
        <w:rPr>
          <w:lang w:val="es-PE"/>
        </w:rPr>
        <w:t>Sinforosa L. Poma</w:t>
      </w:r>
      <w:r w:rsidR="003C3853" w:rsidRPr="007139D4">
        <w:rPr>
          <w:vertAlign w:val="superscript"/>
          <w:lang w:val="es-PE"/>
        </w:rPr>
        <w:t>a</w:t>
      </w:r>
      <w:r w:rsidRPr="007139D4">
        <w:rPr>
          <w:lang w:val="es-PE"/>
        </w:rPr>
        <w:t>, Paula A. Sanchez</w:t>
      </w:r>
      <w:r w:rsidR="003C3853" w:rsidRPr="007139D4">
        <w:rPr>
          <w:vertAlign w:val="superscript"/>
          <w:lang w:val="es-PE"/>
        </w:rPr>
        <w:t>a</w:t>
      </w:r>
      <w:r w:rsidRPr="007139D4">
        <w:rPr>
          <w:lang w:val="es-PE"/>
        </w:rPr>
        <w:t>, Robert S. Suarez</w:t>
      </w:r>
      <w:r w:rsidR="003C3853" w:rsidRPr="007139D4">
        <w:rPr>
          <w:vertAlign w:val="superscript"/>
          <w:lang w:val="es-PE"/>
        </w:rPr>
        <w:t>a</w:t>
      </w:r>
      <w:r w:rsidRPr="007139D4">
        <w:rPr>
          <w:lang w:val="es-PE"/>
        </w:rPr>
        <w:t>, Rosario M. Isidro</w:t>
      </w:r>
      <w:r w:rsidR="003C3853" w:rsidRPr="007139D4">
        <w:rPr>
          <w:vertAlign w:val="superscript"/>
          <w:lang w:val="es-PE"/>
        </w:rPr>
        <w:t>a</w:t>
      </w:r>
      <w:r w:rsidRPr="007139D4">
        <w:rPr>
          <w:lang w:val="es-PE"/>
        </w:rPr>
        <w:t>, Eva M. Vargas</w:t>
      </w:r>
      <w:r w:rsidR="003C3853" w:rsidRPr="007139D4">
        <w:rPr>
          <w:vertAlign w:val="superscript"/>
          <w:lang w:val="es-PE"/>
        </w:rPr>
        <w:t>a</w:t>
      </w:r>
      <w:r w:rsidRPr="007139D4">
        <w:rPr>
          <w:lang w:val="es-PE"/>
        </w:rPr>
        <w:t>, Criss L. Topalaya</w:t>
      </w:r>
      <w:r w:rsidR="003C3853" w:rsidRPr="007139D4">
        <w:rPr>
          <w:vertAlign w:val="superscript"/>
          <w:lang w:val="es-PE"/>
        </w:rPr>
        <w:t>a</w:t>
      </w:r>
      <w:r w:rsidRPr="007139D4">
        <w:rPr>
          <w:lang w:val="es-PE"/>
        </w:rPr>
        <w:t>, Magaly H. Chambilla</w:t>
      </w:r>
      <w:r w:rsidR="003C3853" w:rsidRPr="007139D4">
        <w:rPr>
          <w:vertAlign w:val="superscript"/>
          <w:lang w:val="es-PE"/>
        </w:rPr>
        <w:t>a</w:t>
      </w:r>
      <w:r w:rsidR="003C3853" w:rsidRPr="007139D4">
        <w:rPr>
          <w:lang w:val="es-PE"/>
        </w:rPr>
        <w:t>, Jorge H. Jhoncon</w:t>
      </w:r>
      <w:r w:rsidR="003C3853" w:rsidRPr="007139D4">
        <w:rPr>
          <w:vertAlign w:val="superscript"/>
          <w:lang w:val="es-PE"/>
        </w:rPr>
        <w:t>b*</w:t>
      </w:r>
    </w:p>
    <w:p w14:paraId="6B2D21B3" w14:textId="0AC38480" w:rsidR="00B57E6F" w:rsidRPr="007139D4" w:rsidRDefault="00B57E6F" w:rsidP="00B57E6F">
      <w:pPr>
        <w:pStyle w:val="CETAddress"/>
        <w:rPr>
          <w:lang w:val="es-PE"/>
        </w:rPr>
      </w:pPr>
      <w:r w:rsidRPr="007139D4">
        <w:rPr>
          <w:vertAlign w:val="superscript"/>
          <w:lang w:val="es-PE"/>
        </w:rPr>
        <w:t>a</w:t>
      </w:r>
      <w:r w:rsidR="003C3853" w:rsidRPr="007139D4">
        <w:rPr>
          <w:lang w:val="es-PE"/>
        </w:rPr>
        <w:t xml:space="preserve">Departamento de </w:t>
      </w:r>
      <w:r w:rsidR="002754C1" w:rsidRPr="007139D4">
        <w:rPr>
          <w:lang w:val="es-PE"/>
        </w:rPr>
        <w:t xml:space="preserve">Educación en Industrias Alimentarias y Nutrición. Facultad de Agropecuaria y Nutrición. Universidad Nacional de Educación Enrique Guzmán y Valle. Avenida Enrique Guzmán y Valle Nº 951, La Cantuta-Chosica. Lima. Perú. </w:t>
      </w:r>
      <w:r w:rsidRPr="007139D4">
        <w:rPr>
          <w:lang w:val="es-PE"/>
        </w:rPr>
        <w:t xml:space="preserve"> </w:t>
      </w:r>
    </w:p>
    <w:p w14:paraId="659448DD" w14:textId="65253505" w:rsidR="00FD4A11" w:rsidRDefault="00B57E6F" w:rsidP="00FD4A11">
      <w:pPr>
        <w:pStyle w:val="CETAddress"/>
      </w:pPr>
      <w:r w:rsidRPr="007139D4">
        <w:rPr>
          <w:vertAlign w:val="superscript"/>
          <w:lang w:val="es-PE"/>
        </w:rPr>
        <w:t>b</w:t>
      </w:r>
      <w:r w:rsidR="002754C1" w:rsidRPr="007139D4">
        <w:rPr>
          <w:lang w:val="es-PE"/>
        </w:rPr>
        <w:t xml:space="preserve">Centro de Investigación en Agricultura Orgánica. </w:t>
      </w:r>
      <w:r w:rsidR="00EF4A22" w:rsidRPr="007139D4">
        <w:rPr>
          <w:lang w:val="es-PE"/>
        </w:rPr>
        <w:t xml:space="preserve">Centro de Investigación de Plantas Aromáticas y Medicinales. </w:t>
      </w:r>
      <w:r w:rsidR="002754C1" w:rsidRPr="007139D4">
        <w:rPr>
          <w:lang w:val="es-PE"/>
        </w:rPr>
        <w:t xml:space="preserve">Universidad Nacional de Educación Enrique Guzmán y Valle. Avenida Enrique Guzmán y Valle Nº 951, La Cantuta-Chosica. </w:t>
      </w:r>
      <w:r w:rsidR="002754C1">
        <w:t xml:space="preserve">Lima. Perú. </w:t>
      </w:r>
      <w:r w:rsidR="002754C1" w:rsidRPr="00B57B36">
        <w:t xml:space="preserve"> </w:t>
      </w:r>
    </w:p>
    <w:p w14:paraId="73F1267A" w14:textId="3265E9BF" w:rsidR="00B57E6F" w:rsidRPr="00CC2CD5" w:rsidRDefault="00527ACC" w:rsidP="00FD4A11">
      <w:pPr>
        <w:pStyle w:val="CETAddress"/>
      </w:pPr>
      <w:hyperlink r:id="rId10" w:history="1">
        <w:r w:rsidR="00CC2CD5" w:rsidRPr="00CC2CD5">
          <w:rPr>
            <w:rStyle w:val="Hyperlink"/>
            <w:color w:val="auto"/>
            <w:u w:val="none"/>
            <w:vertAlign w:val="superscript"/>
          </w:rPr>
          <w:t>*</w:t>
        </w:r>
        <w:r w:rsidR="00CC2CD5" w:rsidRPr="00CC2CD5">
          <w:rPr>
            <w:rStyle w:val="Hyperlink"/>
            <w:color w:val="auto"/>
            <w:u w:val="none"/>
          </w:rPr>
          <w:t>Corresponding author:</w:t>
        </w:r>
        <w:r w:rsidR="00CC2CD5" w:rsidRPr="00CC2CD5">
          <w:rPr>
            <w:rStyle w:val="Hyperlink"/>
            <w:u w:val="none"/>
          </w:rPr>
          <w:t xml:space="preserve"> jjhoncon@une.edu.pe</w:t>
        </w:r>
      </w:hyperlink>
    </w:p>
    <w:p w14:paraId="0365CB0D" w14:textId="77777777" w:rsidR="002754C1" w:rsidRPr="002754C1" w:rsidRDefault="002754C1" w:rsidP="002754C1">
      <w:pPr>
        <w:pStyle w:val="CETBodytext"/>
        <w:rPr>
          <w:lang w:val="en-GB"/>
        </w:rPr>
      </w:pPr>
    </w:p>
    <w:p w14:paraId="5F5C770B" w14:textId="667321A2" w:rsidR="00D54470" w:rsidRPr="00F54EE1" w:rsidRDefault="00D54470" w:rsidP="00D54470">
      <w:pPr>
        <w:rPr>
          <w:rFonts w:cs="Arial"/>
          <w:szCs w:val="18"/>
          <w:lang w:val="pt-PT"/>
        </w:rPr>
      </w:pPr>
      <w:r w:rsidRPr="00F54EE1">
        <w:rPr>
          <w:rFonts w:cs="Arial"/>
          <w:szCs w:val="18"/>
        </w:rPr>
        <w:t xml:space="preserve">Iron deficiency </w:t>
      </w:r>
      <w:proofErr w:type="spellStart"/>
      <w:r w:rsidRPr="00F54EE1">
        <w:rPr>
          <w:rFonts w:cs="Arial"/>
          <w:szCs w:val="18"/>
        </w:rPr>
        <w:t>anemia</w:t>
      </w:r>
      <w:proofErr w:type="spellEnd"/>
      <w:r w:rsidRPr="00F54EE1">
        <w:rPr>
          <w:rFonts w:cs="Arial"/>
          <w:szCs w:val="18"/>
        </w:rPr>
        <w:t xml:space="preserve"> is a scourge that ravages the world and especially preschool children. In this regard, Peru is not immune to this problem, so this study aims to investigate the consumption of </w:t>
      </w:r>
      <w:proofErr w:type="spellStart"/>
      <w:r w:rsidRPr="00F54EE1">
        <w:rPr>
          <w:rFonts w:cs="Arial"/>
          <w:szCs w:val="18"/>
        </w:rPr>
        <w:t>hydrolyzed</w:t>
      </w:r>
      <w:proofErr w:type="spellEnd"/>
      <w:r w:rsidRPr="00F54EE1">
        <w:rPr>
          <w:rFonts w:cs="Arial"/>
          <w:szCs w:val="18"/>
        </w:rPr>
        <w:t xml:space="preserve"> anchovy cookies and </w:t>
      </w:r>
      <w:proofErr w:type="spellStart"/>
      <w:r w:rsidRPr="00F54EE1">
        <w:rPr>
          <w:rFonts w:cs="Arial"/>
          <w:szCs w:val="18"/>
        </w:rPr>
        <w:t>anemia</w:t>
      </w:r>
      <w:proofErr w:type="spellEnd"/>
      <w:r w:rsidRPr="00F54EE1">
        <w:rPr>
          <w:rFonts w:cs="Arial"/>
          <w:szCs w:val="18"/>
        </w:rPr>
        <w:t xml:space="preserve"> in children under </w:t>
      </w:r>
      <w:r w:rsidR="00753B45" w:rsidRPr="00F54EE1">
        <w:rPr>
          <w:rFonts w:cs="Arial"/>
          <w:szCs w:val="18"/>
        </w:rPr>
        <w:t>3</w:t>
      </w:r>
      <w:r w:rsidRPr="00F54EE1">
        <w:rPr>
          <w:rFonts w:cs="Arial"/>
          <w:szCs w:val="18"/>
        </w:rPr>
        <w:t xml:space="preserve"> years of age in educational institutions in </w:t>
      </w:r>
      <w:proofErr w:type="spellStart"/>
      <w:r w:rsidRPr="00F54EE1">
        <w:rPr>
          <w:rFonts w:cs="Arial"/>
          <w:szCs w:val="18"/>
        </w:rPr>
        <w:t>Chosica</w:t>
      </w:r>
      <w:proofErr w:type="spellEnd"/>
      <w:r w:rsidRPr="00F54EE1">
        <w:rPr>
          <w:rFonts w:cs="Arial"/>
          <w:szCs w:val="18"/>
        </w:rPr>
        <w:t>.</w:t>
      </w:r>
      <w:r w:rsidR="00753B45" w:rsidRPr="00F54EE1">
        <w:rPr>
          <w:rFonts w:cs="Arial"/>
          <w:szCs w:val="18"/>
        </w:rPr>
        <w:t xml:space="preserve"> </w:t>
      </w:r>
      <w:r w:rsidRPr="00F54EE1">
        <w:rPr>
          <w:rFonts w:cs="Arial"/>
          <w:szCs w:val="18"/>
        </w:rPr>
        <w:t xml:space="preserve">The methodology used in the research was the quantitative approach and the instruments used were the blood count for the diagnosis of </w:t>
      </w:r>
      <w:proofErr w:type="spellStart"/>
      <w:r w:rsidRPr="00F54EE1">
        <w:rPr>
          <w:rFonts w:cs="Arial"/>
          <w:szCs w:val="18"/>
        </w:rPr>
        <w:t>anemia</w:t>
      </w:r>
      <w:proofErr w:type="spellEnd"/>
      <w:r w:rsidRPr="00F54EE1">
        <w:rPr>
          <w:rFonts w:cs="Arial"/>
          <w:szCs w:val="18"/>
        </w:rPr>
        <w:t xml:space="preserve"> and the daily consumption of cookies enriched with quinoa and enzymatic hydrolysate of anchovy. </w:t>
      </w:r>
      <w:r w:rsidRPr="00F54EE1">
        <w:rPr>
          <w:rFonts w:cs="Arial"/>
          <w:szCs w:val="18"/>
          <w:lang w:val="pt-PT"/>
        </w:rPr>
        <w:t>Their chemical, physical, and microbiological characteristics were analyzed, as well as the sensory evaluation.</w:t>
      </w:r>
    </w:p>
    <w:p w14:paraId="0C449B0B" w14:textId="77777777" w:rsidR="002C3DE3" w:rsidRPr="00F02E1C" w:rsidRDefault="002C3DE3" w:rsidP="00D54470">
      <w:pPr>
        <w:rPr>
          <w:rFonts w:cs="Arial"/>
          <w:szCs w:val="18"/>
          <w:lang w:val="pt-PT"/>
        </w:rPr>
      </w:pPr>
    </w:p>
    <w:p w14:paraId="0603EFC9" w14:textId="108653AC" w:rsidR="00D54470" w:rsidRPr="00F54EE1" w:rsidRDefault="00D54470" w:rsidP="00D54470">
      <w:pPr>
        <w:rPr>
          <w:rFonts w:cs="Arial"/>
          <w:szCs w:val="18"/>
          <w:lang w:val="it-IT"/>
        </w:rPr>
      </w:pPr>
      <w:r w:rsidRPr="00F54EE1">
        <w:rPr>
          <w:rFonts w:cs="Arial"/>
          <w:szCs w:val="18"/>
          <w:lang w:val="it-IT"/>
        </w:rPr>
        <w:t>Finally, the study included a more in-depth sensory evaluation of the cookies in order to prevent their rejection. The study then inferred that the addition of enzymatic hydrolysate of anchovy improves the nutritional value of the cookies. And, the inclusion of food education and the consumption of cookies enriched with anchovy hydrolyzate are barriers against the appearance of anemia.</w:t>
      </w:r>
      <w:r w:rsidR="002C3DE3" w:rsidRPr="00F54EE1">
        <w:rPr>
          <w:rFonts w:cs="Arial"/>
          <w:szCs w:val="18"/>
          <w:lang w:val="it-IT"/>
        </w:rPr>
        <w:t xml:space="preserve"> The results indicate that the hemoglobin level increased in all children and that the strategy of talks and workshops with parents, teachers and students is a positive strategy that has allowed the development of research with the participation of the actors in the educational process.</w:t>
      </w:r>
    </w:p>
    <w:p w14:paraId="0BEC62AD" w14:textId="77777777" w:rsidR="00D54470" w:rsidRPr="00F54EE1" w:rsidRDefault="00D54470" w:rsidP="00D54470">
      <w:pPr>
        <w:rPr>
          <w:rFonts w:cs="Arial"/>
          <w:b/>
          <w:bCs/>
          <w:szCs w:val="18"/>
          <w:lang w:val="it-IT"/>
        </w:rPr>
      </w:pPr>
    </w:p>
    <w:p w14:paraId="60129B27" w14:textId="297BC2C9" w:rsidR="00D54470" w:rsidRPr="00F54EE1" w:rsidRDefault="00D54470" w:rsidP="00D54470">
      <w:pPr>
        <w:rPr>
          <w:rFonts w:cs="Arial"/>
          <w:szCs w:val="18"/>
          <w:lang w:val="it-IT"/>
        </w:rPr>
      </w:pPr>
      <w:r w:rsidRPr="00F54EE1">
        <w:rPr>
          <w:rFonts w:cs="Arial"/>
          <w:b/>
          <w:bCs/>
          <w:szCs w:val="18"/>
          <w:lang w:val="it-IT"/>
        </w:rPr>
        <w:t>Keywords:</w:t>
      </w:r>
      <w:r w:rsidRPr="00F54EE1">
        <w:rPr>
          <w:rFonts w:cs="Arial"/>
          <w:szCs w:val="18"/>
          <w:lang w:val="it-IT"/>
        </w:rPr>
        <w:t xml:space="preserve"> Food Education, quinoa, kiwicha, cañihua, anchovy hydrolysate, anemia</w:t>
      </w:r>
    </w:p>
    <w:p w14:paraId="56FC78F1" w14:textId="77777777" w:rsidR="00D54470" w:rsidRPr="00F54EE1" w:rsidRDefault="00D54470" w:rsidP="00D54470">
      <w:pPr>
        <w:pStyle w:val="CETnumberingbullets"/>
        <w:numPr>
          <w:ilvl w:val="0"/>
          <w:numId w:val="0"/>
        </w:numPr>
        <w:ind w:left="340" w:hanging="227"/>
        <w:rPr>
          <w:rFonts w:cs="Arial"/>
          <w:szCs w:val="18"/>
          <w:lang w:val="it-IT"/>
        </w:rPr>
      </w:pPr>
    </w:p>
    <w:p w14:paraId="476B2F2E" w14:textId="52B36035" w:rsidR="00600535" w:rsidRPr="00F54EE1" w:rsidRDefault="00600535" w:rsidP="00600535">
      <w:pPr>
        <w:pStyle w:val="CETHeading1"/>
        <w:rPr>
          <w:rFonts w:cs="Arial"/>
          <w:sz w:val="18"/>
          <w:szCs w:val="18"/>
          <w:lang w:val="en-GB"/>
        </w:rPr>
      </w:pPr>
      <w:r w:rsidRPr="00F54EE1">
        <w:rPr>
          <w:rFonts w:cs="Arial"/>
          <w:sz w:val="18"/>
          <w:szCs w:val="18"/>
          <w:lang w:val="en-GB"/>
        </w:rPr>
        <w:t>Introduction</w:t>
      </w:r>
    </w:p>
    <w:p w14:paraId="53070747" w14:textId="11FFCC17" w:rsidR="00753B45" w:rsidRPr="00F54EE1" w:rsidRDefault="0081320A" w:rsidP="00753B45">
      <w:pPr>
        <w:pStyle w:val="CETBodytext"/>
        <w:rPr>
          <w:rFonts w:cs="Arial"/>
          <w:szCs w:val="18"/>
          <w:lang w:val="en-GB"/>
        </w:rPr>
      </w:pPr>
      <w:r w:rsidRPr="00F54EE1">
        <w:rPr>
          <w:rFonts w:cs="Arial"/>
          <w:szCs w:val="18"/>
          <w:lang w:val="en-GB"/>
        </w:rPr>
        <w:t xml:space="preserve">According to the World Health Organization, </w:t>
      </w:r>
      <w:proofErr w:type="spellStart"/>
      <w:r w:rsidRPr="00F54EE1">
        <w:rPr>
          <w:rFonts w:cs="Arial"/>
          <w:szCs w:val="18"/>
          <w:lang w:val="en-GB"/>
        </w:rPr>
        <w:t>anemia</w:t>
      </w:r>
      <w:proofErr w:type="spellEnd"/>
      <w:r w:rsidRPr="00F54EE1">
        <w:rPr>
          <w:rFonts w:cs="Arial"/>
          <w:szCs w:val="18"/>
          <w:lang w:val="en-GB"/>
        </w:rPr>
        <w:t xml:space="preserve"> is a disease in which the number of red blood cells, or the concentration of </w:t>
      </w:r>
      <w:proofErr w:type="spellStart"/>
      <w:r w:rsidRPr="00F54EE1">
        <w:rPr>
          <w:rFonts w:cs="Arial"/>
          <w:szCs w:val="18"/>
          <w:lang w:val="en-GB"/>
        </w:rPr>
        <w:t>hemoglobin</w:t>
      </w:r>
      <w:proofErr w:type="spellEnd"/>
      <w:r w:rsidRPr="00F54EE1">
        <w:rPr>
          <w:rFonts w:cs="Arial"/>
          <w:szCs w:val="18"/>
          <w:lang w:val="en-GB"/>
        </w:rPr>
        <w:t xml:space="preserve"> in red blood cells, is lower than normal, which mainly affects women and children. Worldwide, it is estimated that 40% of children aged 6 to 59 months, 37% of pregnant women and 30% of women aged 15 to 49 years suffer from </w:t>
      </w:r>
      <w:proofErr w:type="spellStart"/>
      <w:r w:rsidRPr="00F54EE1">
        <w:rPr>
          <w:rFonts w:cs="Arial"/>
          <w:szCs w:val="18"/>
          <w:lang w:val="en-GB"/>
        </w:rPr>
        <w:t>anemia</w:t>
      </w:r>
      <w:proofErr w:type="spellEnd"/>
      <w:r w:rsidRPr="00F54EE1">
        <w:rPr>
          <w:rFonts w:cs="Arial"/>
          <w:szCs w:val="18"/>
          <w:lang w:val="en-GB"/>
        </w:rPr>
        <w:t>.</w:t>
      </w:r>
      <w:r w:rsidR="00753B45" w:rsidRPr="00F54EE1">
        <w:rPr>
          <w:rFonts w:cs="Arial"/>
          <w:szCs w:val="18"/>
          <w:lang w:val="en-GB"/>
        </w:rPr>
        <w:t xml:space="preserve"> </w:t>
      </w:r>
    </w:p>
    <w:p w14:paraId="4FAF0FAD" w14:textId="77777777" w:rsidR="00753B45" w:rsidRPr="00F54EE1" w:rsidRDefault="00753B45" w:rsidP="00753B45">
      <w:pPr>
        <w:pStyle w:val="CETBodytext"/>
        <w:rPr>
          <w:rFonts w:cs="Arial"/>
          <w:szCs w:val="18"/>
          <w:lang w:val="en-GB"/>
        </w:rPr>
      </w:pPr>
    </w:p>
    <w:p w14:paraId="09F9345F" w14:textId="0C3D829E" w:rsidR="00753B45" w:rsidRPr="00F54EE1" w:rsidRDefault="0081320A" w:rsidP="00753B45">
      <w:pPr>
        <w:pStyle w:val="CETBodytext"/>
        <w:rPr>
          <w:rFonts w:cs="Arial"/>
          <w:szCs w:val="18"/>
          <w:lang w:eastAsia="es-ES_tradnl"/>
        </w:rPr>
      </w:pPr>
      <w:r w:rsidRPr="00F54EE1">
        <w:rPr>
          <w:rFonts w:cs="Arial"/>
          <w:szCs w:val="18"/>
          <w:lang w:val="en-GB"/>
        </w:rPr>
        <w:t xml:space="preserve">Peru is no stranger to </w:t>
      </w:r>
      <w:proofErr w:type="spellStart"/>
      <w:r w:rsidRPr="00F54EE1">
        <w:rPr>
          <w:rFonts w:cs="Arial"/>
          <w:szCs w:val="18"/>
          <w:lang w:val="en-GB"/>
        </w:rPr>
        <w:t>anemia</w:t>
      </w:r>
      <w:proofErr w:type="spellEnd"/>
      <w:r w:rsidRPr="00F54EE1">
        <w:rPr>
          <w:rFonts w:cs="Arial"/>
          <w:szCs w:val="18"/>
          <w:lang w:val="en-GB"/>
        </w:rPr>
        <w:t xml:space="preserve"> and in this reality, the results of the 2019 Demographic and Family Health Survey (ENDES) showed that the national average was 40.1%. In Figure 1, it can be seen that the Puno Region has 70% </w:t>
      </w:r>
      <w:proofErr w:type="spellStart"/>
      <w:r w:rsidRPr="00F54EE1">
        <w:rPr>
          <w:rFonts w:cs="Arial"/>
          <w:szCs w:val="18"/>
          <w:lang w:val="en-GB"/>
        </w:rPr>
        <w:t>anemia</w:t>
      </w:r>
      <w:proofErr w:type="spellEnd"/>
      <w:r w:rsidRPr="00F54EE1">
        <w:rPr>
          <w:rFonts w:cs="Arial"/>
          <w:szCs w:val="18"/>
          <w:lang w:val="en-GB"/>
        </w:rPr>
        <w:t xml:space="preserve">, being the </w:t>
      </w:r>
      <w:proofErr w:type="spellStart"/>
      <w:r w:rsidRPr="00F54EE1">
        <w:rPr>
          <w:rFonts w:cs="Arial"/>
          <w:szCs w:val="18"/>
          <w:lang w:val="en-GB"/>
        </w:rPr>
        <w:t>center</w:t>
      </w:r>
      <w:proofErr w:type="spellEnd"/>
      <w:r w:rsidRPr="00F54EE1">
        <w:rPr>
          <w:rFonts w:cs="Arial"/>
          <w:szCs w:val="18"/>
          <w:lang w:val="en-GB"/>
        </w:rPr>
        <w:t xml:space="preserve"> of origin of high Andean cereals such as quinoa (</w:t>
      </w:r>
      <w:r w:rsidRPr="003E6166">
        <w:rPr>
          <w:rFonts w:cs="Arial"/>
          <w:szCs w:val="18"/>
          <w:lang w:val="en-GB"/>
        </w:rPr>
        <w:t>Chenopodium quinoa</w:t>
      </w:r>
      <w:r w:rsidRPr="00F54EE1">
        <w:rPr>
          <w:rFonts w:cs="Arial"/>
          <w:szCs w:val="18"/>
          <w:lang w:val="en-GB"/>
        </w:rPr>
        <w:t xml:space="preserve">), </w:t>
      </w:r>
      <w:proofErr w:type="spellStart"/>
      <w:r w:rsidRPr="00F54EE1">
        <w:rPr>
          <w:rFonts w:cs="Arial"/>
          <w:szCs w:val="18"/>
          <w:lang w:val="en-GB"/>
        </w:rPr>
        <w:t>kiwicha</w:t>
      </w:r>
      <w:proofErr w:type="spellEnd"/>
      <w:r w:rsidRPr="00F54EE1">
        <w:rPr>
          <w:rFonts w:cs="Arial"/>
          <w:szCs w:val="18"/>
          <w:lang w:val="en-GB"/>
        </w:rPr>
        <w:t xml:space="preserve"> (</w:t>
      </w:r>
      <w:r w:rsidRPr="003E6166">
        <w:rPr>
          <w:rFonts w:cs="Arial"/>
          <w:szCs w:val="18"/>
          <w:lang w:val="en-GB"/>
        </w:rPr>
        <w:t xml:space="preserve">Amaranthus </w:t>
      </w:r>
      <w:proofErr w:type="spellStart"/>
      <w:r w:rsidRPr="003E6166">
        <w:rPr>
          <w:rFonts w:cs="Arial"/>
          <w:szCs w:val="18"/>
          <w:lang w:val="en-GB"/>
        </w:rPr>
        <w:t>caudatus</w:t>
      </w:r>
      <w:proofErr w:type="spellEnd"/>
      <w:r w:rsidRPr="00F54EE1">
        <w:rPr>
          <w:rFonts w:cs="Arial"/>
          <w:szCs w:val="18"/>
          <w:lang w:val="en-GB"/>
        </w:rPr>
        <w:t xml:space="preserve">), and </w:t>
      </w:r>
      <w:proofErr w:type="spellStart"/>
      <w:r w:rsidRPr="00F54EE1">
        <w:rPr>
          <w:rFonts w:cs="Arial"/>
          <w:szCs w:val="18"/>
          <w:lang w:val="en-GB"/>
        </w:rPr>
        <w:t>cañihua</w:t>
      </w:r>
      <w:proofErr w:type="spellEnd"/>
      <w:r w:rsidRPr="00F54EE1">
        <w:rPr>
          <w:rFonts w:cs="Arial"/>
          <w:szCs w:val="18"/>
          <w:lang w:val="en-GB"/>
        </w:rPr>
        <w:t xml:space="preserve"> (</w:t>
      </w:r>
      <w:r w:rsidRPr="003E6166">
        <w:rPr>
          <w:rFonts w:cs="Arial"/>
          <w:szCs w:val="18"/>
          <w:lang w:val="en-GB"/>
        </w:rPr>
        <w:t xml:space="preserve">Chenopodium </w:t>
      </w:r>
      <w:proofErr w:type="spellStart"/>
      <w:r w:rsidRPr="003E6166">
        <w:rPr>
          <w:rFonts w:cs="Arial"/>
          <w:szCs w:val="18"/>
          <w:lang w:val="en-GB"/>
        </w:rPr>
        <w:t>pallidicaule</w:t>
      </w:r>
      <w:proofErr w:type="spellEnd"/>
      <w:r w:rsidRPr="00F54EE1">
        <w:rPr>
          <w:rFonts w:cs="Arial"/>
          <w:szCs w:val="18"/>
          <w:lang w:val="en-GB"/>
        </w:rPr>
        <w:t>). These facts are incomprehensible in a country like ours, which is among the five most megadiverse countries in the world and has made important contributions to global agriculture and nutrition.</w:t>
      </w:r>
    </w:p>
    <w:p w14:paraId="385ACFCB" w14:textId="77777777" w:rsidR="00753B45" w:rsidRPr="00F54EE1" w:rsidRDefault="00753B45" w:rsidP="00753B45">
      <w:pPr>
        <w:pStyle w:val="CETBodytext"/>
        <w:rPr>
          <w:rFonts w:cs="Arial"/>
          <w:szCs w:val="18"/>
          <w:lang w:eastAsia="es-ES_tradnl"/>
        </w:rPr>
      </w:pPr>
    </w:p>
    <w:p w14:paraId="0C49C31F" w14:textId="77777777" w:rsidR="0088410E" w:rsidRPr="00F54EE1" w:rsidRDefault="0088410E" w:rsidP="00753B45">
      <w:pPr>
        <w:pStyle w:val="CETBodytext"/>
        <w:rPr>
          <w:rFonts w:cs="Arial"/>
          <w:szCs w:val="18"/>
          <w:lang w:eastAsia="es-ES_tradnl"/>
        </w:rPr>
      </w:pPr>
    </w:p>
    <w:p w14:paraId="30387425" w14:textId="00CC8CBB" w:rsidR="0088410E" w:rsidRPr="00F54EE1" w:rsidRDefault="0088410E" w:rsidP="00753B45">
      <w:pPr>
        <w:pStyle w:val="CETBodytext"/>
        <w:rPr>
          <w:rFonts w:cs="Arial"/>
          <w:szCs w:val="18"/>
          <w:lang w:eastAsia="es-ES_tradnl"/>
        </w:rPr>
      </w:pPr>
      <w:r w:rsidRPr="00F54EE1">
        <w:rPr>
          <w:rFonts w:cs="Arial"/>
          <w:noProof/>
          <w:szCs w:val="18"/>
          <w:lang w:val="en-GB"/>
        </w:rPr>
        <w:drawing>
          <wp:inline distT="0" distB="0" distL="0" distR="0" wp14:anchorId="423F9AE1" wp14:editId="773429A8">
            <wp:extent cx="4963644" cy="2895600"/>
            <wp:effectExtent l="0" t="0" r="8890" b="0"/>
            <wp:docPr id="9791668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166846" name="Imagen 979166846"/>
                    <pic:cNvPicPr/>
                  </pic:nvPicPr>
                  <pic:blipFill>
                    <a:blip r:embed="rId11"/>
                    <a:stretch>
                      <a:fillRect/>
                    </a:stretch>
                  </pic:blipFill>
                  <pic:spPr>
                    <a:xfrm>
                      <a:off x="0" y="0"/>
                      <a:ext cx="4966389" cy="2897201"/>
                    </a:xfrm>
                    <a:prstGeom prst="rect">
                      <a:avLst/>
                    </a:prstGeom>
                  </pic:spPr>
                </pic:pic>
              </a:graphicData>
            </a:graphic>
          </wp:inline>
        </w:drawing>
      </w:r>
    </w:p>
    <w:p w14:paraId="0EE269D4" w14:textId="77777777" w:rsidR="00753B45" w:rsidRPr="00F54EE1" w:rsidRDefault="00753B45" w:rsidP="00753B45">
      <w:pPr>
        <w:pStyle w:val="CETBodytext"/>
        <w:rPr>
          <w:rFonts w:cs="Arial"/>
          <w:szCs w:val="18"/>
          <w:lang w:val="en-GB"/>
        </w:rPr>
      </w:pPr>
      <w:r w:rsidRPr="00F54EE1">
        <w:rPr>
          <w:rFonts w:cs="Arial"/>
          <w:szCs w:val="18"/>
          <w:lang w:val="en-GB"/>
        </w:rPr>
        <w:t>One explanation for this phenomenon is that the media has imposed a dietary model based on processed foods called junk food. This is made worse by the fact that educational institutions direct the consumption of this type of food from school, leaving aside a diet based on natural and organic food products and the consumption of healthy foods produced by the community.</w:t>
      </w:r>
    </w:p>
    <w:p w14:paraId="1F029DA5" w14:textId="77777777" w:rsidR="00753B45" w:rsidRPr="00F54EE1" w:rsidRDefault="00753B45" w:rsidP="00753B45">
      <w:pPr>
        <w:pStyle w:val="CETBodytext"/>
        <w:rPr>
          <w:rFonts w:cs="Arial"/>
          <w:szCs w:val="18"/>
          <w:lang w:val="en-GB"/>
        </w:rPr>
      </w:pPr>
    </w:p>
    <w:p w14:paraId="42667C30" w14:textId="6AC5F5A5" w:rsidR="00753B45" w:rsidRPr="00F54EE1" w:rsidRDefault="0081320A" w:rsidP="00753B45">
      <w:pPr>
        <w:pStyle w:val="CETBodytext"/>
        <w:rPr>
          <w:rFonts w:cs="Arial"/>
          <w:szCs w:val="18"/>
          <w:lang w:val="en-GB"/>
        </w:rPr>
      </w:pPr>
      <w:r w:rsidRPr="00F54EE1">
        <w:rPr>
          <w:rFonts w:cs="Arial"/>
          <w:szCs w:val="18"/>
          <w:lang w:val="en-GB"/>
        </w:rPr>
        <w:t xml:space="preserve">According to the first academic dialogue: Peruvian biodiversity products to prevent </w:t>
      </w:r>
      <w:proofErr w:type="spellStart"/>
      <w:r w:rsidRPr="00F54EE1">
        <w:rPr>
          <w:rFonts w:cs="Arial"/>
          <w:szCs w:val="18"/>
          <w:lang w:val="en-GB"/>
        </w:rPr>
        <w:t>anemia</w:t>
      </w:r>
      <w:proofErr w:type="spellEnd"/>
      <w:r w:rsidRPr="00F54EE1">
        <w:rPr>
          <w:rFonts w:cs="Arial"/>
          <w:szCs w:val="18"/>
          <w:lang w:val="en-GB"/>
        </w:rPr>
        <w:t xml:space="preserve">, held on May 23, 2019 and organized by the Ministry of the Environment, </w:t>
      </w:r>
      <w:proofErr w:type="spellStart"/>
      <w:r w:rsidRPr="00F54EE1">
        <w:rPr>
          <w:rFonts w:cs="Arial"/>
          <w:szCs w:val="18"/>
          <w:lang w:val="en-GB"/>
        </w:rPr>
        <w:t>anemia</w:t>
      </w:r>
      <w:proofErr w:type="spellEnd"/>
      <w:r w:rsidRPr="00F54EE1">
        <w:rPr>
          <w:rFonts w:cs="Arial"/>
          <w:szCs w:val="18"/>
          <w:lang w:val="en-GB"/>
        </w:rPr>
        <w:t xml:space="preserve"> was defined as a condition that occurs when the </w:t>
      </w:r>
      <w:proofErr w:type="spellStart"/>
      <w:r w:rsidRPr="00F54EE1">
        <w:rPr>
          <w:rFonts w:cs="Arial"/>
          <w:szCs w:val="18"/>
          <w:lang w:val="en-GB"/>
        </w:rPr>
        <w:t>hemoglobin</w:t>
      </w:r>
      <w:proofErr w:type="spellEnd"/>
      <w:r w:rsidRPr="00F54EE1">
        <w:rPr>
          <w:rFonts w:cs="Arial"/>
          <w:szCs w:val="18"/>
          <w:lang w:val="en-GB"/>
        </w:rPr>
        <w:t xml:space="preserve"> index in the blood is below an expected limit and is insufficient to meet the needs of the body, which vary depending on age, sex, altitude above sea level where the person lives, and the different stages of pregnancy (Kanak M. et al, 2019; Getachew et al., 2019). Likewise, </w:t>
      </w:r>
      <w:proofErr w:type="spellStart"/>
      <w:r w:rsidRPr="00F54EE1">
        <w:rPr>
          <w:rFonts w:cs="Arial"/>
          <w:szCs w:val="18"/>
          <w:lang w:val="en-GB"/>
        </w:rPr>
        <w:t>anemia</w:t>
      </w:r>
      <w:proofErr w:type="spellEnd"/>
      <w:r w:rsidRPr="00F54EE1">
        <w:rPr>
          <w:rFonts w:cs="Arial"/>
          <w:szCs w:val="18"/>
          <w:lang w:val="en-GB"/>
        </w:rPr>
        <w:t xml:space="preserve"> can be caused by other nutritional deficiencies (including folate, vitamin B12, and vitamin A), acute and chronic inflammation, parasitosis, and hereditary or acquired diseases that affect </w:t>
      </w:r>
      <w:proofErr w:type="spellStart"/>
      <w:r w:rsidRPr="00F54EE1">
        <w:rPr>
          <w:rFonts w:cs="Arial"/>
          <w:szCs w:val="18"/>
          <w:lang w:val="en-GB"/>
        </w:rPr>
        <w:t>hemoglobin</w:t>
      </w:r>
      <w:proofErr w:type="spellEnd"/>
      <w:r w:rsidRPr="00F54EE1">
        <w:rPr>
          <w:rFonts w:cs="Arial"/>
          <w:szCs w:val="18"/>
          <w:lang w:val="en-GB"/>
        </w:rPr>
        <w:t xml:space="preserve"> synthesis and the production or survival of red blood cells (</w:t>
      </w:r>
      <w:proofErr w:type="spellStart"/>
      <w:r w:rsidRPr="00F54EE1">
        <w:rPr>
          <w:rFonts w:cs="Arial"/>
          <w:szCs w:val="18"/>
          <w:lang w:val="en-GB"/>
        </w:rPr>
        <w:t>Odunlade</w:t>
      </w:r>
      <w:proofErr w:type="spellEnd"/>
      <w:r w:rsidRPr="00F54EE1">
        <w:rPr>
          <w:rFonts w:cs="Arial"/>
          <w:szCs w:val="18"/>
          <w:lang w:val="en-GB"/>
        </w:rPr>
        <w:t xml:space="preserve"> et al, 2018).</w:t>
      </w:r>
    </w:p>
    <w:p w14:paraId="04792A4D" w14:textId="77777777" w:rsidR="0081320A" w:rsidRPr="00F54EE1" w:rsidRDefault="0081320A" w:rsidP="00753B45">
      <w:pPr>
        <w:pStyle w:val="CETBodytext"/>
        <w:rPr>
          <w:rFonts w:cs="Arial"/>
          <w:szCs w:val="18"/>
          <w:lang w:val="en-GB"/>
        </w:rPr>
      </w:pPr>
    </w:p>
    <w:p w14:paraId="1478F732" w14:textId="31F909EF" w:rsidR="0081320A" w:rsidRPr="00F54EE1" w:rsidRDefault="0081320A" w:rsidP="0081320A">
      <w:pPr>
        <w:pStyle w:val="CETBodytext"/>
        <w:rPr>
          <w:rFonts w:cs="Arial"/>
          <w:szCs w:val="18"/>
          <w:lang w:val="en-GB"/>
        </w:rPr>
      </w:pPr>
      <w:r w:rsidRPr="00F54EE1">
        <w:rPr>
          <w:rFonts w:cs="Arial"/>
          <w:szCs w:val="18"/>
          <w:lang w:val="en-GB"/>
        </w:rPr>
        <w:t xml:space="preserve">At the mentioned event, we presented the research entitled: Cookies Enriched with Quinoa (Chenopodium quinoa), </w:t>
      </w:r>
      <w:proofErr w:type="spellStart"/>
      <w:r w:rsidRPr="00F54EE1">
        <w:rPr>
          <w:rFonts w:cs="Arial"/>
          <w:szCs w:val="18"/>
          <w:lang w:val="en-GB"/>
        </w:rPr>
        <w:t>Tarwi</w:t>
      </w:r>
      <w:proofErr w:type="spellEnd"/>
      <w:r w:rsidRPr="00F54EE1">
        <w:rPr>
          <w:rFonts w:cs="Arial"/>
          <w:szCs w:val="18"/>
          <w:lang w:val="en-GB"/>
        </w:rPr>
        <w:t xml:space="preserve"> (Lupinus </w:t>
      </w:r>
      <w:proofErr w:type="spellStart"/>
      <w:r w:rsidRPr="00F54EE1">
        <w:rPr>
          <w:rFonts w:cs="Arial"/>
          <w:szCs w:val="18"/>
          <w:lang w:val="en-GB"/>
        </w:rPr>
        <w:t>mutabilis</w:t>
      </w:r>
      <w:proofErr w:type="spellEnd"/>
      <w:r w:rsidRPr="00F54EE1">
        <w:rPr>
          <w:rFonts w:cs="Arial"/>
          <w:szCs w:val="18"/>
          <w:lang w:val="en-GB"/>
        </w:rPr>
        <w:t xml:space="preserve">) and Moringa (Moringa </w:t>
      </w:r>
      <w:proofErr w:type="spellStart"/>
      <w:r w:rsidRPr="00F54EE1">
        <w:rPr>
          <w:rFonts w:cs="Arial"/>
          <w:szCs w:val="18"/>
          <w:lang w:val="en-GB"/>
        </w:rPr>
        <w:t>oleífera</w:t>
      </w:r>
      <w:proofErr w:type="spellEnd"/>
      <w:r w:rsidRPr="00F54EE1">
        <w:rPr>
          <w:rFonts w:cs="Arial"/>
          <w:szCs w:val="18"/>
          <w:lang w:val="en-GB"/>
        </w:rPr>
        <w:t xml:space="preserve">) to raise the nutritional level of the first grade students of secondary education of the Felipe Santiago </w:t>
      </w:r>
      <w:proofErr w:type="spellStart"/>
      <w:r w:rsidRPr="00F54EE1">
        <w:rPr>
          <w:rFonts w:cs="Arial"/>
          <w:szCs w:val="18"/>
          <w:lang w:val="en-GB"/>
        </w:rPr>
        <w:t>Estenos</w:t>
      </w:r>
      <w:proofErr w:type="spellEnd"/>
      <w:r w:rsidRPr="00F54EE1">
        <w:rPr>
          <w:rFonts w:cs="Arial"/>
          <w:szCs w:val="18"/>
          <w:lang w:val="en-GB"/>
        </w:rPr>
        <w:t xml:space="preserve"> Educational Institution of </w:t>
      </w:r>
      <w:proofErr w:type="spellStart"/>
      <w:r w:rsidRPr="00F54EE1">
        <w:rPr>
          <w:rFonts w:cs="Arial"/>
          <w:szCs w:val="18"/>
          <w:lang w:val="en-GB"/>
        </w:rPr>
        <w:t>Chaclacayo</w:t>
      </w:r>
      <w:proofErr w:type="spellEnd"/>
      <w:r w:rsidRPr="00F54EE1">
        <w:rPr>
          <w:rFonts w:cs="Arial"/>
          <w:szCs w:val="18"/>
          <w:lang w:val="en-GB"/>
        </w:rPr>
        <w:t xml:space="preserve"> and the Pablo </w:t>
      </w:r>
      <w:proofErr w:type="spellStart"/>
      <w:r w:rsidRPr="00F54EE1">
        <w:rPr>
          <w:rFonts w:cs="Arial"/>
          <w:szCs w:val="18"/>
          <w:lang w:val="en-GB"/>
        </w:rPr>
        <w:t>Patrón</w:t>
      </w:r>
      <w:proofErr w:type="spellEnd"/>
      <w:r w:rsidRPr="00F54EE1">
        <w:rPr>
          <w:rFonts w:cs="Arial"/>
          <w:szCs w:val="18"/>
          <w:lang w:val="en-GB"/>
        </w:rPr>
        <w:t xml:space="preserve"> Educational Institution of </w:t>
      </w:r>
      <w:proofErr w:type="spellStart"/>
      <w:r w:rsidRPr="00F54EE1">
        <w:rPr>
          <w:rFonts w:cs="Arial"/>
          <w:szCs w:val="18"/>
          <w:lang w:val="en-GB"/>
        </w:rPr>
        <w:t>Lurigancho</w:t>
      </w:r>
      <w:proofErr w:type="spellEnd"/>
      <w:r w:rsidRPr="00F54EE1">
        <w:rPr>
          <w:rFonts w:cs="Arial"/>
          <w:szCs w:val="18"/>
          <w:lang w:val="en-GB"/>
        </w:rPr>
        <w:t xml:space="preserve"> - </w:t>
      </w:r>
      <w:proofErr w:type="spellStart"/>
      <w:r w:rsidRPr="00F54EE1">
        <w:rPr>
          <w:rFonts w:cs="Arial"/>
          <w:szCs w:val="18"/>
          <w:lang w:val="en-GB"/>
        </w:rPr>
        <w:t>Chosica</w:t>
      </w:r>
      <w:proofErr w:type="spellEnd"/>
      <w:r w:rsidRPr="00F54EE1">
        <w:rPr>
          <w:rFonts w:cs="Arial"/>
          <w:szCs w:val="18"/>
          <w:lang w:val="en-GB"/>
        </w:rPr>
        <w:t xml:space="preserve">, and later we have included a Fish Protein Concentrate (CPP) obtained from the enzymatic </w:t>
      </w:r>
      <w:proofErr w:type="spellStart"/>
      <w:r w:rsidRPr="00F54EE1">
        <w:rPr>
          <w:rFonts w:cs="Arial"/>
          <w:szCs w:val="18"/>
          <w:lang w:val="en-GB"/>
        </w:rPr>
        <w:t>hydrolyzate</w:t>
      </w:r>
      <w:proofErr w:type="spellEnd"/>
      <w:r w:rsidRPr="00F54EE1">
        <w:rPr>
          <w:rFonts w:cs="Arial"/>
          <w:szCs w:val="18"/>
          <w:lang w:val="en-GB"/>
        </w:rPr>
        <w:t xml:space="preserve"> of anchovy (</w:t>
      </w:r>
      <w:proofErr w:type="spellStart"/>
      <w:r w:rsidRPr="00F54EE1">
        <w:rPr>
          <w:rFonts w:cs="Arial"/>
          <w:szCs w:val="18"/>
          <w:lang w:val="en-GB"/>
        </w:rPr>
        <w:t>Engraulis</w:t>
      </w:r>
      <w:proofErr w:type="spellEnd"/>
      <w:r w:rsidRPr="00F54EE1">
        <w:rPr>
          <w:rFonts w:cs="Arial"/>
          <w:szCs w:val="18"/>
          <w:lang w:val="en-GB"/>
        </w:rPr>
        <w:t xml:space="preserve"> </w:t>
      </w:r>
      <w:proofErr w:type="spellStart"/>
      <w:r w:rsidRPr="00F54EE1">
        <w:rPr>
          <w:rFonts w:cs="Arial"/>
          <w:szCs w:val="18"/>
          <w:lang w:val="en-GB"/>
        </w:rPr>
        <w:t>ringens</w:t>
      </w:r>
      <w:proofErr w:type="spellEnd"/>
      <w:r w:rsidRPr="00F54EE1">
        <w:rPr>
          <w:rFonts w:cs="Arial"/>
          <w:szCs w:val="18"/>
          <w:lang w:val="en-GB"/>
        </w:rPr>
        <w:t xml:space="preserve">), </w:t>
      </w:r>
      <w:r w:rsidR="008608C5" w:rsidRPr="008608C5">
        <w:t>yellowfin tuna</w:t>
      </w:r>
      <w:r w:rsidR="008608C5" w:rsidRPr="00F54EE1">
        <w:rPr>
          <w:rFonts w:cs="Arial"/>
          <w:szCs w:val="18"/>
          <w:lang w:val="en-GB"/>
        </w:rPr>
        <w:t xml:space="preserve"> </w:t>
      </w:r>
      <w:r w:rsidR="008608C5">
        <w:t>(</w:t>
      </w:r>
      <w:r w:rsidR="008608C5" w:rsidRPr="008608C5">
        <w:rPr>
          <w:i/>
          <w:iCs/>
        </w:rPr>
        <w:t xml:space="preserve">Thunnus </w:t>
      </w:r>
      <w:proofErr w:type="spellStart"/>
      <w:r w:rsidR="008608C5" w:rsidRPr="008608C5">
        <w:rPr>
          <w:i/>
          <w:iCs/>
        </w:rPr>
        <w:t>albacares</w:t>
      </w:r>
      <w:proofErr w:type="spellEnd"/>
      <w:r w:rsidR="008608C5">
        <w:t>)</w:t>
      </w:r>
      <w:r w:rsidRPr="00F54EE1">
        <w:rPr>
          <w:rFonts w:cs="Arial"/>
          <w:szCs w:val="18"/>
          <w:lang w:val="en-GB"/>
        </w:rPr>
        <w:t xml:space="preserve"> and other species of our Peruvian sea.</w:t>
      </w:r>
    </w:p>
    <w:p w14:paraId="7FB00750" w14:textId="77777777" w:rsidR="0081320A" w:rsidRPr="00F54EE1" w:rsidRDefault="0081320A" w:rsidP="0081320A">
      <w:pPr>
        <w:pStyle w:val="CETBodytext"/>
        <w:rPr>
          <w:rFonts w:cs="Arial"/>
          <w:szCs w:val="18"/>
          <w:lang w:val="en-GB"/>
        </w:rPr>
      </w:pPr>
    </w:p>
    <w:p w14:paraId="70B70E95" w14:textId="1BA91B04" w:rsidR="00753B45" w:rsidRPr="00F54EE1" w:rsidRDefault="0081320A" w:rsidP="00753B45">
      <w:pPr>
        <w:pStyle w:val="CETBodytext"/>
        <w:rPr>
          <w:rFonts w:cs="Arial"/>
          <w:szCs w:val="18"/>
          <w:lang w:val="en-GB"/>
        </w:rPr>
      </w:pPr>
      <w:r w:rsidRPr="00F54EE1">
        <w:rPr>
          <w:rFonts w:cs="Arial"/>
          <w:szCs w:val="18"/>
          <w:lang w:val="en-GB"/>
        </w:rPr>
        <w:t xml:space="preserve">In our country, two of the main causes of </w:t>
      </w:r>
      <w:proofErr w:type="spellStart"/>
      <w:r w:rsidRPr="00F54EE1">
        <w:rPr>
          <w:rFonts w:cs="Arial"/>
          <w:szCs w:val="18"/>
          <w:lang w:val="en-GB"/>
        </w:rPr>
        <w:t>anemia</w:t>
      </w:r>
      <w:proofErr w:type="spellEnd"/>
      <w:r w:rsidRPr="00F54EE1">
        <w:rPr>
          <w:rFonts w:cs="Arial"/>
          <w:szCs w:val="18"/>
          <w:lang w:val="en-GB"/>
        </w:rPr>
        <w:t xml:space="preserve"> are: low consumption of </w:t>
      </w:r>
      <w:proofErr w:type="spellStart"/>
      <w:r w:rsidRPr="00F54EE1">
        <w:rPr>
          <w:rFonts w:cs="Arial"/>
          <w:szCs w:val="18"/>
          <w:lang w:val="en-GB"/>
        </w:rPr>
        <w:t>heme</w:t>
      </w:r>
      <w:proofErr w:type="spellEnd"/>
      <w:r w:rsidRPr="00F54EE1">
        <w:rPr>
          <w:rFonts w:cs="Arial"/>
          <w:szCs w:val="18"/>
          <w:lang w:val="en-GB"/>
        </w:rPr>
        <w:t xml:space="preserve"> iron from animal sources, as well as the high presence of infectious diseases (Zavaleta and Astete, 2017). Consequently, </w:t>
      </w:r>
      <w:proofErr w:type="spellStart"/>
      <w:r w:rsidRPr="00F54EE1">
        <w:rPr>
          <w:rFonts w:cs="Arial"/>
          <w:szCs w:val="18"/>
          <w:lang w:val="en-GB"/>
        </w:rPr>
        <w:t>anemia</w:t>
      </w:r>
      <w:proofErr w:type="spellEnd"/>
      <w:r w:rsidRPr="00F54EE1">
        <w:rPr>
          <w:rFonts w:cs="Arial"/>
          <w:szCs w:val="18"/>
          <w:lang w:val="en-GB"/>
        </w:rPr>
        <w:t xml:space="preserve"> is accentuated by economic, social and cultural inequalities, which manifest themselves in poverty, poor housing conditions (especially with regard to access to water and sanitation), lack of knowledge of families about the importance of healthy eating and hygiene practices, among other factors (Zavaleta and Astete, 2017).</w:t>
      </w:r>
    </w:p>
    <w:p w14:paraId="56DF75B4" w14:textId="36459029" w:rsidR="0081320A" w:rsidRDefault="0081320A" w:rsidP="00753B45">
      <w:pPr>
        <w:pStyle w:val="CETBodytext"/>
        <w:rPr>
          <w:rFonts w:cs="Arial"/>
          <w:szCs w:val="18"/>
          <w:lang w:val="en-GB"/>
        </w:rPr>
      </w:pPr>
    </w:p>
    <w:p w14:paraId="25B834BC" w14:textId="767DA26C" w:rsidR="00501387" w:rsidRDefault="00501387" w:rsidP="00753B45">
      <w:pPr>
        <w:pStyle w:val="CETBodytext"/>
      </w:pPr>
      <w:r w:rsidRPr="0055535B">
        <w:t>The validation of the cookie enriched with high Andean grains and enzymatic hydrolysate of anchovy was carried out at the Mis Angelitos I early childhood education institution. The classroom of 36-month-old children had 16 children. With the consent of the parents, permission was obtained to analyze the hemoglobin level at the beginning and end of the research, except for one child, because the family was vegan and therefore this child did not receive the cookie. After the scope of the project was explained, the parents signed the informed consent form</w:t>
      </w:r>
      <w:r>
        <w:t>.</w:t>
      </w:r>
    </w:p>
    <w:p w14:paraId="4CCCEEE9" w14:textId="6CF64D37" w:rsidR="00501387" w:rsidRDefault="00501387" w:rsidP="00753B45">
      <w:pPr>
        <w:pStyle w:val="CETBodytext"/>
      </w:pPr>
    </w:p>
    <w:p w14:paraId="3FFD1863" w14:textId="77777777" w:rsidR="00501387" w:rsidRPr="00F54EE1" w:rsidRDefault="00501387" w:rsidP="00753B45">
      <w:pPr>
        <w:pStyle w:val="CETBodytext"/>
        <w:rPr>
          <w:rFonts w:cs="Arial"/>
          <w:szCs w:val="18"/>
          <w:lang w:val="en-GB"/>
        </w:rPr>
      </w:pPr>
    </w:p>
    <w:p w14:paraId="60371DA4" w14:textId="77777777" w:rsidR="00753B45" w:rsidRPr="00F54EE1" w:rsidRDefault="00753B45" w:rsidP="00753B45">
      <w:pPr>
        <w:pStyle w:val="CETHeading1"/>
        <w:rPr>
          <w:rFonts w:cs="Arial"/>
          <w:sz w:val="18"/>
          <w:szCs w:val="18"/>
          <w:lang w:val="en-GB"/>
        </w:rPr>
      </w:pPr>
      <w:r w:rsidRPr="00F54EE1">
        <w:rPr>
          <w:rFonts w:cs="Arial"/>
          <w:sz w:val="18"/>
          <w:szCs w:val="18"/>
        </w:rPr>
        <w:lastRenderedPageBreak/>
        <w:t>Materials and Methods</w:t>
      </w:r>
    </w:p>
    <w:p w14:paraId="3D78F4FE" w14:textId="27288046" w:rsidR="00753B45" w:rsidRPr="00F54EE1" w:rsidRDefault="0081320A" w:rsidP="00753B45">
      <w:pPr>
        <w:pStyle w:val="CETBodytext"/>
        <w:rPr>
          <w:rFonts w:cs="Arial"/>
          <w:b/>
          <w:bCs/>
          <w:szCs w:val="18"/>
          <w:lang w:val="en-GB"/>
        </w:rPr>
      </w:pPr>
      <w:r w:rsidRPr="00F54EE1">
        <w:rPr>
          <w:rFonts w:cs="Arial"/>
          <w:b/>
          <w:bCs/>
          <w:szCs w:val="18"/>
          <w:lang w:val="en-GB"/>
        </w:rPr>
        <w:t>Cookie Ingredients</w:t>
      </w:r>
    </w:p>
    <w:p w14:paraId="645B9B00" w14:textId="48F617C5" w:rsidR="00753B45" w:rsidRPr="00F54EE1" w:rsidRDefault="0081320A" w:rsidP="00753B45">
      <w:pPr>
        <w:pStyle w:val="CETBodytext"/>
        <w:rPr>
          <w:rFonts w:cs="Arial"/>
          <w:szCs w:val="18"/>
          <w:lang w:val="en-GB"/>
        </w:rPr>
      </w:pPr>
      <w:r w:rsidRPr="00F54EE1">
        <w:rPr>
          <w:rFonts w:cs="Arial"/>
          <w:szCs w:val="18"/>
          <w:lang w:val="en-GB"/>
        </w:rPr>
        <w:t>The cookie enriched with enzymatic hydrolysate of anchovy, basically includes wheat flour (Triticum spp.), quinoa (</w:t>
      </w:r>
      <w:r w:rsidRPr="00751903">
        <w:rPr>
          <w:rFonts w:cs="Arial"/>
          <w:szCs w:val="18"/>
          <w:lang w:val="en-GB"/>
        </w:rPr>
        <w:t>Chenopodium quinoa</w:t>
      </w:r>
      <w:r w:rsidRPr="00F54EE1">
        <w:rPr>
          <w:rFonts w:cs="Arial"/>
          <w:szCs w:val="18"/>
          <w:lang w:val="en-GB"/>
        </w:rPr>
        <w:t xml:space="preserve">), </w:t>
      </w:r>
      <w:proofErr w:type="spellStart"/>
      <w:r w:rsidRPr="00F54EE1">
        <w:rPr>
          <w:rFonts w:cs="Arial"/>
          <w:szCs w:val="18"/>
          <w:lang w:val="en-GB"/>
        </w:rPr>
        <w:t>kiwicha</w:t>
      </w:r>
      <w:proofErr w:type="spellEnd"/>
      <w:r w:rsidRPr="00F54EE1">
        <w:rPr>
          <w:rFonts w:cs="Arial"/>
          <w:szCs w:val="18"/>
          <w:lang w:val="en-GB"/>
        </w:rPr>
        <w:t xml:space="preserve"> (</w:t>
      </w:r>
      <w:r w:rsidRPr="00751903">
        <w:rPr>
          <w:rFonts w:cs="Arial"/>
          <w:szCs w:val="18"/>
          <w:lang w:val="en-GB"/>
        </w:rPr>
        <w:t xml:space="preserve">Amaranthus </w:t>
      </w:r>
      <w:proofErr w:type="spellStart"/>
      <w:r w:rsidRPr="00751903">
        <w:rPr>
          <w:rFonts w:cs="Arial"/>
          <w:szCs w:val="18"/>
          <w:lang w:val="en-GB"/>
        </w:rPr>
        <w:t>caudatus</w:t>
      </w:r>
      <w:proofErr w:type="spellEnd"/>
      <w:r w:rsidRPr="00F54EE1">
        <w:rPr>
          <w:rFonts w:cs="Arial"/>
          <w:szCs w:val="18"/>
          <w:lang w:val="en-GB"/>
        </w:rPr>
        <w:t xml:space="preserve">), </w:t>
      </w:r>
      <w:proofErr w:type="spellStart"/>
      <w:r w:rsidRPr="00F54EE1">
        <w:rPr>
          <w:rFonts w:cs="Arial"/>
          <w:szCs w:val="18"/>
          <w:lang w:val="en-GB"/>
        </w:rPr>
        <w:t>cañihua</w:t>
      </w:r>
      <w:proofErr w:type="spellEnd"/>
      <w:r w:rsidRPr="00F54EE1">
        <w:rPr>
          <w:rFonts w:cs="Arial"/>
          <w:szCs w:val="18"/>
          <w:lang w:val="en-GB"/>
        </w:rPr>
        <w:t xml:space="preserve"> (</w:t>
      </w:r>
      <w:r w:rsidRPr="00751903">
        <w:rPr>
          <w:rFonts w:cs="Arial"/>
          <w:szCs w:val="18"/>
          <w:lang w:val="en-GB"/>
        </w:rPr>
        <w:t xml:space="preserve">Chenopodium </w:t>
      </w:r>
      <w:proofErr w:type="spellStart"/>
      <w:r w:rsidRPr="00751903">
        <w:rPr>
          <w:rFonts w:cs="Arial"/>
          <w:szCs w:val="18"/>
          <w:lang w:val="en-GB"/>
        </w:rPr>
        <w:t>pallidicaule</w:t>
      </w:r>
      <w:proofErr w:type="spellEnd"/>
      <w:r w:rsidRPr="00F54EE1">
        <w:rPr>
          <w:rFonts w:cs="Arial"/>
          <w:szCs w:val="18"/>
          <w:lang w:val="en-GB"/>
        </w:rPr>
        <w:t>), essential oil of passion fruit (</w:t>
      </w:r>
      <w:r w:rsidRPr="00751903">
        <w:rPr>
          <w:rFonts w:cs="Arial"/>
          <w:szCs w:val="18"/>
          <w:lang w:val="en-GB"/>
        </w:rPr>
        <w:t>Passiflora edulis</w:t>
      </w:r>
      <w:r w:rsidRPr="00F54EE1">
        <w:rPr>
          <w:rFonts w:cs="Arial"/>
          <w:szCs w:val="18"/>
          <w:lang w:val="en-GB"/>
        </w:rPr>
        <w:t>)</w:t>
      </w:r>
    </w:p>
    <w:p w14:paraId="38F266FD" w14:textId="489858BF" w:rsidR="00DC241F" w:rsidRPr="00F54EE1" w:rsidRDefault="00DC241F" w:rsidP="00753B45">
      <w:pPr>
        <w:pStyle w:val="CETBodytext"/>
        <w:rPr>
          <w:rFonts w:cs="Arial"/>
          <w:szCs w:val="18"/>
          <w:lang w:val="en-GB"/>
        </w:rPr>
      </w:pPr>
      <w:r w:rsidRPr="00F54EE1">
        <w:rPr>
          <w:rFonts w:cs="Arial"/>
          <w:szCs w:val="18"/>
          <w:lang w:val="en-GB"/>
        </w:rPr>
        <w:t xml:space="preserve">The preparation of the cookies was carried out according to the formulation worked on in validation research of cookies enriched with enzymatic hydrolysates of </w:t>
      </w:r>
      <w:r w:rsidR="008608C5" w:rsidRPr="008608C5">
        <w:t>yellowfin tuna</w:t>
      </w:r>
      <w:r w:rsidRPr="00F54EE1">
        <w:rPr>
          <w:rFonts w:cs="Arial"/>
          <w:szCs w:val="18"/>
          <w:lang w:val="en-GB"/>
        </w:rPr>
        <w:t xml:space="preserve"> </w:t>
      </w:r>
      <w:r w:rsidR="008608C5">
        <w:t>(</w:t>
      </w:r>
      <w:r w:rsidR="008608C5" w:rsidRPr="008608C5">
        <w:rPr>
          <w:i/>
          <w:iCs/>
        </w:rPr>
        <w:t xml:space="preserve">Thunnus </w:t>
      </w:r>
      <w:proofErr w:type="spellStart"/>
      <w:r w:rsidR="008608C5" w:rsidRPr="008608C5">
        <w:rPr>
          <w:i/>
          <w:iCs/>
        </w:rPr>
        <w:t>albacares</w:t>
      </w:r>
      <w:proofErr w:type="spellEnd"/>
      <w:r w:rsidR="008608C5">
        <w:t>)</w:t>
      </w:r>
      <w:r w:rsidR="009308B1" w:rsidRPr="00F54EE1">
        <w:rPr>
          <w:rFonts w:cs="Arial"/>
          <w:szCs w:val="18"/>
          <w:lang w:val="en-GB"/>
        </w:rPr>
        <w:t xml:space="preserve"> </w:t>
      </w:r>
      <w:r w:rsidRPr="00F54EE1">
        <w:rPr>
          <w:rFonts w:cs="Arial"/>
          <w:szCs w:val="18"/>
          <w:lang w:val="en-GB"/>
        </w:rPr>
        <w:t>(Poma et al. 2023)</w:t>
      </w:r>
    </w:p>
    <w:p w14:paraId="4BDBF389" w14:textId="77777777" w:rsidR="00DC241F" w:rsidRPr="00F54EE1" w:rsidRDefault="00DC241F" w:rsidP="00753B45">
      <w:pPr>
        <w:pStyle w:val="CETBodytext"/>
        <w:rPr>
          <w:rFonts w:cs="Arial"/>
          <w:szCs w:val="18"/>
          <w:lang w:val="en-GB"/>
        </w:rPr>
      </w:pPr>
    </w:p>
    <w:p w14:paraId="0384F3AD" w14:textId="2B347EC8" w:rsidR="0081320A" w:rsidRPr="00F54EE1" w:rsidRDefault="0081320A" w:rsidP="00753B45">
      <w:pPr>
        <w:pStyle w:val="CETBodytext"/>
        <w:rPr>
          <w:rFonts w:cs="Arial"/>
          <w:szCs w:val="18"/>
          <w:lang w:val="en-GB"/>
        </w:rPr>
      </w:pPr>
      <w:r w:rsidRPr="00F54EE1">
        <w:rPr>
          <w:rFonts w:cs="Arial"/>
          <w:szCs w:val="18"/>
          <w:lang w:val="en-GB"/>
        </w:rPr>
        <w:t>The biscuit was prepared in the product preparation laboratory of the Faculty of Agriculture and Nutrition and the physical, chemical and microbiological analyses were carried out in the Total Quality laboratory of the National Agrarian University La Molina (UNALM).</w:t>
      </w:r>
    </w:p>
    <w:p w14:paraId="6C3AE65B" w14:textId="77777777" w:rsidR="0081320A" w:rsidRPr="00F54EE1" w:rsidRDefault="0081320A" w:rsidP="00753B45">
      <w:pPr>
        <w:pStyle w:val="CETBodytext"/>
        <w:rPr>
          <w:rFonts w:cs="Arial"/>
          <w:szCs w:val="18"/>
          <w:lang w:val="en-GB"/>
        </w:rPr>
      </w:pPr>
    </w:p>
    <w:p w14:paraId="6994AFD6" w14:textId="4F84B20E" w:rsidR="00753B45" w:rsidRPr="00F54EE1" w:rsidRDefault="0081320A" w:rsidP="00753B45">
      <w:pPr>
        <w:pStyle w:val="CETBodytext"/>
        <w:rPr>
          <w:rFonts w:cs="Arial"/>
          <w:b/>
          <w:bCs/>
          <w:szCs w:val="18"/>
          <w:lang w:val="en-GB"/>
        </w:rPr>
      </w:pPr>
      <w:r w:rsidRPr="00F54EE1">
        <w:rPr>
          <w:rFonts w:cs="Arial"/>
          <w:b/>
          <w:bCs/>
          <w:szCs w:val="18"/>
          <w:lang w:val="en-GB"/>
        </w:rPr>
        <w:t>Enzymatic hydrolysate of anchovy</w:t>
      </w:r>
    </w:p>
    <w:p w14:paraId="082A8D0C" w14:textId="3C1D9395" w:rsidR="00753B45" w:rsidRPr="00F54EE1" w:rsidRDefault="0081320A" w:rsidP="00753B45">
      <w:pPr>
        <w:pStyle w:val="CETBodytext"/>
        <w:rPr>
          <w:rFonts w:cs="Arial"/>
          <w:szCs w:val="18"/>
          <w:lang w:val="en-GB"/>
        </w:rPr>
      </w:pPr>
      <w:r w:rsidRPr="00F54EE1">
        <w:rPr>
          <w:rFonts w:cs="Arial"/>
          <w:szCs w:val="18"/>
          <w:lang w:val="en-GB"/>
        </w:rPr>
        <w:t>The anchovy hydrolysate production process consists of three main stages: a pre-treatment which consists of forming a homogenized water-muscle mixture (</w:t>
      </w:r>
      <w:proofErr w:type="spellStart"/>
      <w:r w:rsidRPr="00F54EE1">
        <w:rPr>
          <w:rFonts w:cs="Arial"/>
          <w:szCs w:val="18"/>
          <w:lang w:val="en-GB"/>
        </w:rPr>
        <w:t>Khantaphant</w:t>
      </w:r>
      <w:proofErr w:type="spellEnd"/>
      <w:r w:rsidRPr="00F54EE1">
        <w:rPr>
          <w:rFonts w:cs="Arial"/>
          <w:szCs w:val="18"/>
          <w:lang w:val="en-GB"/>
        </w:rPr>
        <w:t xml:space="preserve">, </w:t>
      </w:r>
      <w:proofErr w:type="spellStart"/>
      <w:r w:rsidRPr="00F54EE1">
        <w:rPr>
          <w:rFonts w:cs="Arial"/>
          <w:szCs w:val="18"/>
          <w:lang w:val="en-GB"/>
        </w:rPr>
        <w:t>Benjakul</w:t>
      </w:r>
      <w:proofErr w:type="spellEnd"/>
      <w:r w:rsidRPr="00F54EE1">
        <w:rPr>
          <w:rFonts w:cs="Arial"/>
          <w:szCs w:val="18"/>
          <w:lang w:val="en-GB"/>
        </w:rPr>
        <w:t xml:space="preserve"> &amp; </w:t>
      </w:r>
      <w:proofErr w:type="spellStart"/>
      <w:r w:rsidRPr="00F54EE1">
        <w:rPr>
          <w:rFonts w:cs="Arial"/>
          <w:szCs w:val="18"/>
          <w:lang w:val="en-GB"/>
        </w:rPr>
        <w:t>Ghomi</w:t>
      </w:r>
      <w:proofErr w:type="spellEnd"/>
      <w:r w:rsidRPr="00F54EE1">
        <w:rPr>
          <w:rFonts w:cs="Arial"/>
          <w:szCs w:val="18"/>
          <w:lang w:val="en-GB"/>
        </w:rPr>
        <w:t>, 2011); a second stage, hydrolysis, in which the paste and the enzyme are mixed in a known ratio at a given time, pH and temperature; the enzyme is then inactivated by heat, generally at 90°C for 30 minutes. Finally, centrifugation separates the fatty phase from the protein phase and the latter is dried to obtain the hydrolysate (He et al., 2013).</w:t>
      </w:r>
    </w:p>
    <w:p w14:paraId="74A8E799" w14:textId="6FC531D1" w:rsidR="007B3BF3" w:rsidRPr="00F54EE1" w:rsidRDefault="007B3BF3" w:rsidP="00753B45">
      <w:pPr>
        <w:pStyle w:val="CETBodytext"/>
        <w:rPr>
          <w:rFonts w:cs="Arial"/>
          <w:szCs w:val="18"/>
          <w:lang w:val="en-GB"/>
        </w:rPr>
      </w:pPr>
      <w:r>
        <w:rPr>
          <w:rFonts w:cs="Arial"/>
          <w:noProof/>
          <w:szCs w:val="18"/>
          <w:lang w:val="en-GB"/>
        </w:rPr>
        <w:drawing>
          <wp:inline distT="0" distB="0" distL="0" distR="0" wp14:anchorId="7B151336" wp14:editId="791C85CD">
            <wp:extent cx="5579745" cy="39439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5579745" cy="3943985"/>
                    </a:xfrm>
                    <a:prstGeom prst="rect">
                      <a:avLst/>
                    </a:prstGeom>
                  </pic:spPr>
                </pic:pic>
              </a:graphicData>
            </a:graphic>
          </wp:inline>
        </w:drawing>
      </w:r>
    </w:p>
    <w:p w14:paraId="50A6F06B" w14:textId="05306A11" w:rsidR="0081320A" w:rsidRPr="00F54EE1" w:rsidRDefault="0081320A" w:rsidP="0081320A">
      <w:pPr>
        <w:pStyle w:val="CETBodytext"/>
        <w:rPr>
          <w:rFonts w:cs="Arial"/>
          <w:b/>
          <w:bCs/>
          <w:szCs w:val="18"/>
          <w:lang w:val="en-GB"/>
        </w:rPr>
      </w:pPr>
      <w:r w:rsidRPr="00F54EE1">
        <w:rPr>
          <w:rFonts w:cs="Arial"/>
          <w:b/>
          <w:bCs/>
          <w:szCs w:val="18"/>
          <w:lang w:val="en-GB"/>
        </w:rPr>
        <w:t xml:space="preserve">Determination of </w:t>
      </w:r>
      <w:proofErr w:type="spellStart"/>
      <w:r w:rsidRPr="00F54EE1">
        <w:rPr>
          <w:rFonts w:cs="Arial"/>
          <w:b/>
          <w:bCs/>
          <w:szCs w:val="18"/>
          <w:lang w:val="en-GB"/>
        </w:rPr>
        <w:t>hemoglobin</w:t>
      </w:r>
      <w:proofErr w:type="spellEnd"/>
      <w:r w:rsidRPr="00F54EE1">
        <w:rPr>
          <w:rFonts w:cs="Arial"/>
          <w:b/>
          <w:bCs/>
          <w:szCs w:val="18"/>
          <w:lang w:val="en-GB"/>
        </w:rPr>
        <w:t xml:space="preserve"> level </w:t>
      </w:r>
    </w:p>
    <w:p w14:paraId="48E3CC21" w14:textId="77777777" w:rsidR="00A8630F" w:rsidRDefault="0081320A" w:rsidP="0081320A">
      <w:pPr>
        <w:pStyle w:val="CETBodytext"/>
        <w:rPr>
          <w:rFonts w:cs="Arial"/>
          <w:szCs w:val="18"/>
          <w:lang w:val="en-GB"/>
        </w:rPr>
      </w:pPr>
      <w:r w:rsidRPr="00F54EE1">
        <w:rPr>
          <w:rFonts w:cs="Arial"/>
          <w:szCs w:val="18"/>
          <w:lang w:val="en-GB"/>
        </w:rPr>
        <w:t xml:space="preserve">It was carried out by staff from the </w:t>
      </w:r>
      <w:proofErr w:type="spellStart"/>
      <w:r w:rsidRPr="00F54EE1">
        <w:rPr>
          <w:rFonts w:cs="Arial"/>
          <w:szCs w:val="18"/>
          <w:lang w:val="en-GB"/>
        </w:rPr>
        <w:t>Chosica</w:t>
      </w:r>
      <w:proofErr w:type="spellEnd"/>
      <w:r w:rsidRPr="00F54EE1">
        <w:rPr>
          <w:rFonts w:cs="Arial"/>
          <w:szCs w:val="18"/>
          <w:lang w:val="en-GB"/>
        </w:rPr>
        <w:t xml:space="preserve"> Hospital, 15 children from the application school</w:t>
      </w:r>
    </w:p>
    <w:p w14:paraId="33EB82C8" w14:textId="4FF3713A" w:rsidR="00A8630F" w:rsidRDefault="00A8630F" w:rsidP="0081320A">
      <w:pPr>
        <w:pStyle w:val="CETBodytext"/>
        <w:rPr>
          <w:rFonts w:cs="Arial"/>
          <w:szCs w:val="18"/>
          <w:lang w:val="en-GB"/>
        </w:rPr>
      </w:pPr>
    </w:p>
    <w:p w14:paraId="5886C157" w14:textId="71CC4333" w:rsidR="00DC241F" w:rsidRPr="00F54EE1" w:rsidRDefault="00A8630F" w:rsidP="00DC241F">
      <w:pPr>
        <w:pStyle w:val="CETHeading1"/>
        <w:rPr>
          <w:rFonts w:cs="Arial"/>
          <w:sz w:val="18"/>
          <w:szCs w:val="18"/>
          <w:lang w:val="en-GB"/>
        </w:rPr>
      </w:pPr>
      <w:r>
        <w:rPr>
          <w:rFonts w:cs="Arial"/>
          <w:sz w:val="18"/>
          <w:szCs w:val="18"/>
        </w:rPr>
        <w:t>R</w:t>
      </w:r>
      <w:r w:rsidR="00DC241F" w:rsidRPr="00F54EE1">
        <w:rPr>
          <w:rFonts w:cs="Arial"/>
          <w:sz w:val="18"/>
          <w:szCs w:val="18"/>
        </w:rPr>
        <w:t>esults and Discussion</w:t>
      </w:r>
    </w:p>
    <w:p w14:paraId="0451FDEB" w14:textId="77777777" w:rsidR="00DC241F" w:rsidRPr="00F54EE1" w:rsidRDefault="00DC241F" w:rsidP="00753B45">
      <w:pPr>
        <w:pStyle w:val="CETBodytext"/>
        <w:rPr>
          <w:rFonts w:cs="Arial"/>
          <w:szCs w:val="18"/>
          <w:lang w:val="en-GB"/>
        </w:rPr>
      </w:pPr>
    </w:p>
    <w:p w14:paraId="7F2F1362" w14:textId="77777777" w:rsidR="00753B45" w:rsidRPr="00F54EE1" w:rsidRDefault="00753B45" w:rsidP="00753B45">
      <w:pPr>
        <w:pStyle w:val="CETBodytext"/>
        <w:rPr>
          <w:rFonts w:cs="Arial"/>
          <w:b/>
          <w:bCs/>
          <w:szCs w:val="18"/>
          <w:lang w:val="en-GB"/>
        </w:rPr>
      </w:pPr>
      <w:proofErr w:type="spellStart"/>
      <w:r w:rsidRPr="00F54EE1">
        <w:rPr>
          <w:rFonts w:cs="Arial"/>
          <w:b/>
          <w:bCs/>
          <w:szCs w:val="18"/>
          <w:lang w:val="en-GB"/>
        </w:rPr>
        <w:t>Tabla</w:t>
      </w:r>
      <w:proofErr w:type="spellEnd"/>
      <w:r w:rsidRPr="00F54EE1">
        <w:rPr>
          <w:rFonts w:cs="Arial"/>
          <w:b/>
          <w:bCs/>
          <w:szCs w:val="18"/>
          <w:lang w:val="en-GB"/>
        </w:rPr>
        <w:t xml:space="preserve"> 1</w:t>
      </w:r>
    </w:p>
    <w:p w14:paraId="5A25AF19" w14:textId="0AB2EB3F" w:rsidR="00753B45" w:rsidRPr="007139D4" w:rsidRDefault="00DC241F" w:rsidP="00753B45">
      <w:pPr>
        <w:spacing w:line="360" w:lineRule="auto"/>
        <w:ind w:left="851" w:hanging="851"/>
        <w:rPr>
          <w:rFonts w:cs="Arial"/>
          <w:i/>
          <w:iCs/>
          <w:szCs w:val="18"/>
          <w:lang w:val="en-US"/>
        </w:rPr>
      </w:pPr>
      <w:r w:rsidRPr="007139D4">
        <w:rPr>
          <w:rFonts w:cs="Arial"/>
          <w:i/>
          <w:iCs/>
          <w:szCs w:val="18"/>
          <w:lang w:val="en-US"/>
        </w:rPr>
        <w:t>Results of the proximate analysis (Physical-chemical)</w:t>
      </w:r>
    </w:p>
    <w:tbl>
      <w:tblPr>
        <w:tblW w:w="6841"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103"/>
        <w:gridCol w:w="1738"/>
      </w:tblGrid>
      <w:tr w:rsidR="00753B45" w:rsidRPr="00F54EE1" w14:paraId="39BC41AE" w14:textId="77777777" w:rsidTr="00AA7AEF">
        <w:trPr>
          <w:trHeight w:val="255"/>
        </w:trPr>
        <w:tc>
          <w:tcPr>
            <w:tcW w:w="5103" w:type="dxa"/>
            <w:tcBorders>
              <w:top w:val="single" w:sz="4" w:space="0" w:color="auto"/>
            </w:tcBorders>
            <w:shd w:val="clear" w:color="000000" w:fill="FFFFFF"/>
            <w:vAlign w:val="center"/>
            <w:hideMark/>
          </w:tcPr>
          <w:p w14:paraId="72BB42EC" w14:textId="0C0F4652" w:rsidR="00753B45" w:rsidRPr="00F54EE1" w:rsidRDefault="00DC241F" w:rsidP="00AA7AEF">
            <w:pPr>
              <w:spacing w:line="360" w:lineRule="auto"/>
              <w:rPr>
                <w:rFonts w:cs="Arial"/>
                <w:color w:val="000000"/>
                <w:szCs w:val="18"/>
                <w:lang w:eastAsia="zh-CN"/>
              </w:rPr>
            </w:pPr>
            <w:r w:rsidRPr="00F54EE1">
              <w:rPr>
                <w:rFonts w:cs="Arial"/>
                <w:szCs w:val="18"/>
                <w:lang w:eastAsia="es-ES_tradnl"/>
              </w:rPr>
              <w:t>Total Ash (g/100 g of original sample)</w:t>
            </w:r>
          </w:p>
        </w:tc>
        <w:tc>
          <w:tcPr>
            <w:tcW w:w="1738" w:type="dxa"/>
            <w:tcBorders>
              <w:top w:val="single" w:sz="4" w:space="0" w:color="auto"/>
            </w:tcBorders>
            <w:shd w:val="clear" w:color="000000" w:fill="FFFFFF"/>
            <w:vAlign w:val="center"/>
            <w:hideMark/>
          </w:tcPr>
          <w:p w14:paraId="150346B5" w14:textId="77777777" w:rsidR="00753B45" w:rsidRPr="00F54EE1" w:rsidRDefault="00753B45" w:rsidP="00AA7AEF">
            <w:pPr>
              <w:spacing w:line="360" w:lineRule="auto"/>
              <w:jc w:val="center"/>
              <w:rPr>
                <w:rFonts w:cs="Arial"/>
                <w:color w:val="000000"/>
                <w:szCs w:val="18"/>
                <w:lang w:eastAsia="zh-CN"/>
              </w:rPr>
            </w:pPr>
            <w:r w:rsidRPr="00F54EE1">
              <w:rPr>
                <w:rFonts w:cs="Arial"/>
                <w:szCs w:val="18"/>
                <w:lang w:eastAsia="es-ES_tradnl"/>
              </w:rPr>
              <w:t>1.6</w:t>
            </w:r>
          </w:p>
        </w:tc>
      </w:tr>
      <w:tr w:rsidR="00753B45" w:rsidRPr="00F54EE1" w14:paraId="253B7AF9" w14:textId="77777777" w:rsidTr="00AA7AEF">
        <w:trPr>
          <w:trHeight w:val="255"/>
        </w:trPr>
        <w:tc>
          <w:tcPr>
            <w:tcW w:w="5103" w:type="dxa"/>
            <w:shd w:val="clear" w:color="000000" w:fill="FFFFFF"/>
            <w:vAlign w:val="center"/>
            <w:hideMark/>
          </w:tcPr>
          <w:p w14:paraId="06308555" w14:textId="4641C266" w:rsidR="00753B45" w:rsidRPr="00F54EE1" w:rsidRDefault="00DC241F" w:rsidP="00AA7AEF">
            <w:pPr>
              <w:spacing w:line="360" w:lineRule="auto"/>
              <w:rPr>
                <w:rFonts w:cs="Arial"/>
                <w:color w:val="000000"/>
                <w:szCs w:val="18"/>
                <w:lang w:eastAsia="zh-CN"/>
              </w:rPr>
            </w:pPr>
            <w:r w:rsidRPr="00F54EE1">
              <w:rPr>
                <w:rFonts w:cs="Arial"/>
                <w:szCs w:val="18"/>
                <w:lang w:eastAsia="es-ES_tradnl"/>
              </w:rPr>
              <w:t>Crude Fiber (g/ 100 g. of original sample)</w:t>
            </w:r>
          </w:p>
        </w:tc>
        <w:tc>
          <w:tcPr>
            <w:tcW w:w="1738" w:type="dxa"/>
            <w:shd w:val="clear" w:color="000000" w:fill="FFFFFF"/>
            <w:vAlign w:val="center"/>
            <w:hideMark/>
          </w:tcPr>
          <w:p w14:paraId="0E77CE8C" w14:textId="77777777" w:rsidR="00753B45" w:rsidRPr="00F54EE1" w:rsidRDefault="00753B45" w:rsidP="00AA7AEF">
            <w:pPr>
              <w:spacing w:line="360" w:lineRule="auto"/>
              <w:jc w:val="center"/>
              <w:rPr>
                <w:rFonts w:cs="Arial"/>
                <w:color w:val="000000"/>
                <w:szCs w:val="18"/>
                <w:lang w:eastAsia="zh-CN"/>
              </w:rPr>
            </w:pPr>
            <w:r w:rsidRPr="00F54EE1">
              <w:rPr>
                <w:rFonts w:cs="Arial"/>
                <w:szCs w:val="18"/>
                <w:lang w:eastAsia="es-ES_tradnl"/>
              </w:rPr>
              <w:t>0.9</w:t>
            </w:r>
          </w:p>
        </w:tc>
      </w:tr>
      <w:tr w:rsidR="00753B45" w:rsidRPr="00F54EE1" w14:paraId="0E58D7F0" w14:textId="77777777" w:rsidTr="00AA7AEF">
        <w:trPr>
          <w:trHeight w:val="255"/>
        </w:trPr>
        <w:tc>
          <w:tcPr>
            <w:tcW w:w="5103" w:type="dxa"/>
            <w:shd w:val="clear" w:color="000000" w:fill="FFFFFF"/>
            <w:vAlign w:val="center"/>
            <w:hideMark/>
          </w:tcPr>
          <w:p w14:paraId="75E95914" w14:textId="74558109" w:rsidR="00753B45" w:rsidRPr="00F54EE1" w:rsidRDefault="00DC241F" w:rsidP="00AA7AEF">
            <w:pPr>
              <w:spacing w:line="360" w:lineRule="auto"/>
              <w:rPr>
                <w:rFonts w:cs="Arial"/>
                <w:color w:val="000000"/>
                <w:szCs w:val="18"/>
                <w:lang w:eastAsia="zh-CN"/>
              </w:rPr>
            </w:pPr>
            <w:r w:rsidRPr="00F54EE1">
              <w:rPr>
                <w:rFonts w:cs="Arial"/>
                <w:szCs w:val="18"/>
                <w:lang w:eastAsia="es-ES_tradnl"/>
              </w:rPr>
              <w:t>Fat (g/100 g of original sample)</w:t>
            </w:r>
          </w:p>
        </w:tc>
        <w:tc>
          <w:tcPr>
            <w:tcW w:w="1738" w:type="dxa"/>
            <w:shd w:val="clear" w:color="000000" w:fill="FFFFFF"/>
            <w:vAlign w:val="center"/>
            <w:hideMark/>
          </w:tcPr>
          <w:p w14:paraId="140B3E11" w14:textId="77777777" w:rsidR="00753B45" w:rsidRPr="00F54EE1" w:rsidRDefault="00753B45" w:rsidP="00AA7AEF">
            <w:pPr>
              <w:spacing w:line="360" w:lineRule="auto"/>
              <w:jc w:val="center"/>
              <w:rPr>
                <w:rFonts w:cs="Arial"/>
                <w:color w:val="000000"/>
                <w:szCs w:val="18"/>
                <w:lang w:eastAsia="zh-CN"/>
              </w:rPr>
            </w:pPr>
            <w:r w:rsidRPr="00F54EE1">
              <w:rPr>
                <w:rFonts w:cs="Arial"/>
                <w:szCs w:val="18"/>
                <w:lang w:eastAsia="es-ES_tradnl"/>
              </w:rPr>
              <w:t>20.3</w:t>
            </w:r>
          </w:p>
        </w:tc>
      </w:tr>
      <w:tr w:rsidR="00753B45" w:rsidRPr="00F54EE1" w14:paraId="59B50156" w14:textId="77777777" w:rsidTr="00AA7AEF">
        <w:trPr>
          <w:trHeight w:val="255"/>
        </w:trPr>
        <w:tc>
          <w:tcPr>
            <w:tcW w:w="5103" w:type="dxa"/>
            <w:shd w:val="clear" w:color="000000" w:fill="FFFFFF"/>
            <w:vAlign w:val="center"/>
            <w:hideMark/>
          </w:tcPr>
          <w:p w14:paraId="0160C9CA" w14:textId="33B59FB3" w:rsidR="00753B45" w:rsidRPr="00F54EE1" w:rsidRDefault="00DC241F" w:rsidP="00AA7AEF">
            <w:pPr>
              <w:spacing w:line="360" w:lineRule="auto"/>
              <w:rPr>
                <w:rFonts w:cs="Arial"/>
                <w:color w:val="000000"/>
                <w:szCs w:val="18"/>
                <w:lang w:eastAsia="zh-CN"/>
              </w:rPr>
            </w:pPr>
            <w:r w:rsidRPr="00F54EE1">
              <w:rPr>
                <w:rFonts w:cs="Arial"/>
                <w:szCs w:val="18"/>
                <w:lang w:eastAsia="es-ES_tradnl"/>
              </w:rPr>
              <w:lastRenderedPageBreak/>
              <w:t>Carbohydrates (g/100 g of original sample)</w:t>
            </w:r>
          </w:p>
        </w:tc>
        <w:tc>
          <w:tcPr>
            <w:tcW w:w="1738" w:type="dxa"/>
            <w:shd w:val="clear" w:color="000000" w:fill="FFFFFF"/>
            <w:vAlign w:val="center"/>
            <w:hideMark/>
          </w:tcPr>
          <w:p w14:paraId="7929F550" w14:textId="77777777" w:rsidR="00753B45" w:rsidRPr="00F54EE1" w:rsidRDefault="00753B45" w:rsidP="00AA7AEF">
            <w:pPr>
              <w:spacing w:line="360" w:lineRule="auto"/>
              <w:ind w:firstLineChars="13" w:firstLine="23"/>
              <w:jc w:val="center"/>
              <w:rPr>
                <w:rFonts w:cs="Arial"/>
                <w:color w:val="000000"/>
                <w:szCs w:val="18"/>
                <w:lang w:eastAsia="zh-CN"/>
              </w:rPr>
            </w:pPr>
            <w:r w:rsidRPr="00F54EE1">
              <w:rPr>
                <w:rFonts w:cs="Arial"/>
                <w:szCs w:val="18"/>
                <w:lang w:eastAsia="es-ES_tradnl"/>
              </w:rPr>
              <w:t>59.6</w:t>
            </w:r>
          </w:p>
        </w:tc>
      </w:tr>
      <w:tr w:rsidR="00753B45" w:rsidRPr="00F54EE1" w14:paraId="1CFBDE68" w14:textId="77777777" w:rsidTr="00AA7AEF">
        <w:trPr>
          <w:trHeight w:val="255"/>
        </w:trPr>
        <w:tc>
          <w:tcPr>
            <w:tcW w:w="5103" w:type="dxa"/>
            <w:shd w:val="clear" w:color="000000" w:fill="FFFFFF"/>
            <w:vAlign w:val="center"/>
            <w:hideMark/>
          </w:tcPr>
          <w:p w14:paraId="10012E9D" w14:textId="3CDB116D" w:rsidR="00753B45" w:rsidRPr="00F54EE1" w:rsidRDefault="00DC241F" w:rsidP="00AA7AEF">
            <w:pPr>
              <w:spacing w:line="360" w:lineRule="auto"/>
              <w:rPr>
                <w:rFonts w:cs="Arial"/>
                <w:color w:val="000000"/>
                <w:szCs w:val="18"/>
                <w:lang w:eastAsia="zh-CN"/>
              </w:rPr>
            </w:pPr>
            <w:r w:rsidRPr="00F54EE1">
              <w:rPr>
                <w:rFonts w:cs="Arial"/>
                <w:szCs w:val="18"/>
                <w:lang w:eastAsia="es-ES_tradnl"/>
              </w:rPr>
              <w:t>Moisture (g/100 g of original sample)</w:t>
            </w:r>
          </w:p>
        </w:tc>
        <w:tc>
          <w:tcPr>
            <w:tcW w:w="1738" w:type="dxa"/>
            <w:shd w:val="clear" w:color="000000" w:fill="FFFFFF"/>
            <w:vAlign w:val="center"/>
            <w:hideMark/>
          </w:tcPr>
          <w:p w14:paraId="186605DE" w14:textId="77777777" w:rsidR="00753B45" w:rsidRPr="00F54EE1" w:rsidRDefault="00753B45" w:rsidP="00AA7AEF">
            <w:pPr>
              <w:spacing w:line="360" w:lineRule="auto"/>
              <w:jc w:val="center"/>
              <w:rPr>
                <w:rFonts w:cs="Arial"/>
                <w:color w:val="000000"/>
                <w:szCs w:val="18"/>
                <w:lang w:eastAsia="zh-CN"/>
              </w:rPr>
            </w:pPr>
            <w:r w:rsidRPr="00F54EE1">
              <w:rPr>
                <w:rFonts w:cs="Arial"/>
                <w:szCs w:val="18"/>
                <w:lang w:eastAsia="es-ES_tradnl"/>
              </w:rPr>
              <w:t>7.6</w:t>
            </w:r>
          </w:p>
        </w:tc>
      </w:tr>
      <w:tr w:rsidR="00753B45" w:rsidRPr="00F54EE1" w14:paraId="0A4222D0" w14:textId="77777777" w:rsidTr="00AA7AEF">
        <w:trPr>
          <w:trHeight w:val="255"/>
        </w:trPr>
        <w:tc>
          <w:tcPr>
            <w:tcW w:w="5103" w:type="dxa"/>
            <w:shd w:val="clear" w:color="000000" w:fill="FFFFFF"/>
            <w:vAlign w:val="center"/>
            <w:hideMark/>
          </w:tcPr>
          <w:p w14:paraId="058FFD92" w14:textId="4C954CFD" w:rsidR="00753B45" w:rsidRPr="00F54EE1" w:rsidRDefault="002365C8" w:rsidP="00AA7AEF">
            <w:pPr>
              <w:spacing w:line="360" w:lineRule="auto"/>
              <w:rPr>
                <w:rFonts w:cs="Arial"/>
                <w:color w:val="000000"/>
                <w:szCs w:val="18"/>
                <w:lang w:eastAsia="zh-CN"/>
              </w:rPr>
            </w:pPr>
            <w:r w:rsidRPr="00F54EE1">
              <w:rPr>
                <w:rFonts w:cs="Arial"/>
                <w:szCs w:val="18"/>
                <w:lang w:eastAsia="es-ES_tradnl"/>
              </w:rPr>
              <w:t>Protein (g/100 g of original sample) (Factor:6.25)</w:t>
            </w:r>
          </w:p>
        </w:tc>
        <w:tc>
          <w:tcPr>
            <w:tcW w:w="1738" w:type="dxa"/>
            <w:shd w:val="clear" w:color="000000" w:fill="FFFFFF"/>
            <w:vAlign w:val="center"/>
            <w:hideMark/>
          </w:tcPr>
          <w:p w14:paraId="7FFF8FF2" w14:textId="77777777" w:rsidR="00753B45" w:rsidRPr="00F54EE1" w:rsidRDefault="00753B45" w:rsidP="00AA7AEF">
            <w:pPr>
              <w:spacing w:line="360" w:lineRule="auto"/>
              <w:jc w:val="center"/>
              <w:rPr>
                <w:rFonts w:cs="Arial"/>
                <w:color w:val="000000"/>
                <w:szCs w:val="18"/>
                <w:lang w:eastAsia="zh-CN"/>
              </w:rPr>
            </w:pPr>
            <w:r w:rsidRPr="00F54EE1">
              <w:rPr>
                <w:rFonts w:cs="Arial"/>
                <w:szCs w:val="18"/>
                <w:lang w:eastAsia="es-ES_tradnl"/>
              </w:rPr>
              <w:t>10.9</w:t>
            </w:r>
          </w:p>
        </w:tc>
      </w:tr>
      <w:tr w:rsidR="00753B45" w:rsidRPr="00F54EE1" w14:paraId="1C78D83D" w14:textId="77777777" w:rsidTr="00AA7AEF">
        <w:trPr>
          <w:trHeight w:val="255"/>
        </w:trPr>
        <w:tc>
          <w:tcPr>
            <w:tcW w:w="5103" w:type="dxa"/>
            <w:shd w:val="clear" w:color="000000" w:fill="FFFFFF"/>
            <w:vAlign w:val="center"/>
            <w:hideMark/>
          </w:tcPr>
          <w:p w14:paraId="263E4E9F" w14:textId="4A3381CE" w:rsidR="00753B45" w:rsidRPr="00F54EE1" w:rsidRDefault="002365C8" w:rsidP="00AA7AEF">
            <w:pPr>
              <w:spacing w:line="360" w:lineRule="auto"/>
              <w:rPr>
                <w:rFonts w:cs="Arial"/>
                <w:color w:val="000000"/>
                <w:szCs w:val="18"/>
                <w:lang w:eastAsia="zh-CN"/>
              </w:rPr>
            </w:pPr>
            <w:r w:rsidRPr="00F54EE1">
              <w:rPr>
                <w:rFonts w:cs="Arial"/>
                <w:szCs w:val="18"/>
                <w:lang w:eastAsia="es-ES_tradnl"/>
              </w:rPr>
              <w:t>Total Energy (Kcal/100 g of original sample)</w:t>
            </w:r>
          </w:p>
        </w:tc>
        <w:tc>
          <w:tcPr>
            <w:tcW w:w="1738" w:type="dxa"/>
            <w:shd w:val="clear" w:color="000000" w:fill="FFFFFF"/>
            <w:vAlign w:val="center"/>
            <w:hideMark/>
          </w:tcPr>
          <w:p w14:paraId="3F5AE10F" w14:textId="77777777" w:rsidR="00753B45" w:rsidRPr="00F54EE1" w:rsidRDefault="00753B45" w:rsidP="00AA7AEF">
            <w:pPr>
              <w:spacing w:line="360" w:lineRule="auto"/>
              <w:jc w:val="center"/>
              <w:rPr>
                <w:rFonts w:cs="Arial"/>
                <w:color w:val="000000"/>
                <w:szCs w:val="18"/>
                <w:lang w:eastAsia="zh-CN"/>
              </w:rPr>
            </w:pPr>
            <w:r w:rsidRPr="00F54EE1">
              <w:rPr>
                <w:rFonts w:cs="Arial"/>
                <w:szCs w:val="18"/>
                <w:lang w:eastAsia="es-ES_tradnl"/>
              </w:rPr>
              <w:t>464.7</w:t>
            </w:r>
          </w:p>
        </w:tc>
      </w:tr>
      <w:tr w:rsidR="00753B45" w:rsidRPr="00F54EE1" w14:paraId="38B16051" w14:textId="77777777" w:rsidTr="00AA7AEF">
        <w:trPr>
          <w:trHeight w:val="255"/>
        </w:trPr>
        <w:tc>
          <w:tcPr>
            <w:tcW w:w="5103" w:type="dxa"/>
            <w:shd w:val="clear" w:color="000000" w:fill="FFFFFF"/>
            <w:vAlign w:val="center"/>
            <w:hideMark/>
          </w:tcPr>
          <w:p w14:paraId="630C6331" w14:textId="5E3F2B06" w:rsidR="00753B45" w:rsidRPr="00F54EE1" w:rsidRDefault="00753B45" w:rsidP="00AA7AEF">
            <w:pPr>
              <w:spacing w:line="360" w:lineRule="auto"/>
              <w:rPr>
                <w:rFonts w:cs="Arial"/>
                <w:color w:val="000000"/>
                <w:szCs w:val="18"/>
                <w:lang w:eastAsia="zh-CN"/>
              </w:rPr>
            </w:pPr>
            <w:r w:rsidRPr="00F54EE1">
              <w:rPr>
                <w:rFonts w:cs="Arial"/>
                <w:szCs w:val="18"/>
                <w:lang w:eastAsia="es-ES_tradnl"/>
              </w:rPr>
              <w:t xml:space="preserve">% Kcal. </w:t>
            </w:r>
            <w:r w:rsidR="002365C8" w:rsidRPr="00F54EE1">
              <w:rPr>
                <w:rFonts w:cs="Arial"/>
                <w:szCs w:val="18"/>
                <w:lang w:eastAsia="es-ES_tradnl"/>
              </w:rPr>
              <w:t>from Carbohydrates</w:t>
            </w:r>
          </w:p>
        </w:tc>
        <w:tc>
          <w:tcPr>
            <w:tcW w:w="1738" w:type="dxa"/>
            <w:shd w:val="clear" w:color="000000" w:fill="FFFFFF"/>
            <w:vAlign w:val="center"/>
            <w:hideMark/>
          </w:tcPr>
          <w:p w14:paraId="6D463021" w14:textId="77777777" w:rsidR="00753B45" w:rsidRPr="00F54EE1" w:rsidRDefault="00753B45" w:rsidP="00AA7AEF">
            <w:pPr>
              <w:spacing w:line="360" w:lineRule="auto"/>
              <w:ind w:firstLineChars="13" w:firstLine="23"/>
              <w:jc w:val="center"/>
              <w:rPr>
                <w:rFonts w:cs="Arial"/>
                <w:color w:val="000000"/>
                <w:szCs w:val="18"/>
                <w:lang w:eastAsia="zh-CN"/>
              </w:rPr>
            </w:pPr>
            <w:r w:rsidRPr="00F54EE1">
              <w:rPr>
                <w:rFonts w:cs="Arial"/>
                <w:szCs w:val="18"/>
                <w:lang w:eastAsia="es-ES_tradnl"/>
              </w:rPr>
              <w:t>51.3</w:t>
            </w:r>
          </w:p>
        </w:tc>
      </w:tr>
      <w:tr w:rsidR="00753B45" w:rsidRPr="00F54EE1" w14:paraId="4AD66D45" w14:textId="77777777" w:rsidTr="00AA7AEF">
        <w:trPr>
          <w:trHeight w:val="255"/>
        </w:trPr>
        <w:tc>
          <w:tcPr>
            <w:tcW w:w="5103" w:type="dxa"/>
            <w:shd w:val="clear" w:color="000000" w:fill="FFFFFF"/>
            <w:vAlign w:val="center"/>
            <w:hideMark/>
          </w:tcPr>
          <w:p w14:paraId="07C8E6DC" w14:textId="4E808F64" w:rsidR="00753B45" w:rsidRPr="00F54EE1" w:rsidRDefault="00753B45" w:rsidP="00AA7AEF">
            <w:pPr>
              <w:spacing w:line="360" w:lineRule="auto"/>
              <w:rPr>
                <w:rFonts w:cs="Arial"/>
                <w:color w:val="000000"/>
                <w:szCs w:val="18"/>
                <w:lang w:eastAsia="zh-CN"/>
              </w:rPr>
            </w:pPr>
            <w:r w:rsidRPr="00F54EE1">
              <w:rPr>
                <w:rFonts w:cs="Arial"/>
                <w:szCs w:val="18"/>
                <w:lang w:eastAsia="es-ES_tradnl"/>
              </w:rPr>
              <w:t xml:space="preserve">% Kcal. </w:t>
            </w:r>
            <w:r w:rsidR="002365C8" w:rsidRPr="00F54EE1">
              <w:rPr>
                <w:rFonts w:cs="Arial"/>
                <w:szCs w:val="18"/>
                <w:lang w:eastAsia="es-ES_tradnl"/>
              </w:rPr>
              <w:t>from Fat</w:t>
            </w:r>
          </w:p>
        </w:tc>
        <w:tc>
          <w:tcPr>
            <w:tcW w:w="1738" w:type="dxa"/>
            <w:shd w:val="clear" w:color="000000" w:fill="FFFFFF"/>
            <w:vAlign w:val="center"/>
            <w:hideMark/>
          </w:tcPr>
          <w:p w14:paraId="414D3AD2" w14:textId="77777777" w:rsidR="00753B45" w:rsidRPr="00F54EE1" w:rsidRDefault="00753B45" w:rsidP="00AA7AEF">
            <w:pPr>
              <w:spacing w:line="360" w:lineRule="auto"/>
              <w:ind w:firstLineChars="13" w:firstLine="23"/>
              <w:jc w:val="center"/>
              <w:rPr>
                <w:rFonts w:cs="Arial"/>
                <w:color w:val="000000"/>
                <w:szCs w:val="18"/>
                <w:lang w:eastAsia="zh-CN"/>
              </w:rPr>
            </w:pPr>
            <w:r w:rsidRPr="00F54EE1">
              <w:rPr>
                <w:rFonts w:cs="Arial"/>
                <w:szCs w:val="18"/>
                <w:lang w:eastAsia="es-ES_tradnl"/>
              </w:rPr>
              <w:t>39.3</w:t>
            </w:r>
          </w:p>
        </w:tc>
      </w:tr>
      <w:tr w:rsidR="00753B45" w:rsidRPr="00F54EE1" w14:paraId="702830FB" w14:textId="77777777" w:rsidTr="00AA7AEF">
        <w:trPr>
          <w:trHeight w:val="255"/>
        </w:trPr>
        <w:tc>
          <w:tcPr>
            <w:tcW w:w="5103" w:type="dxa"/>
            <w:shd w:val="clear" w:color="000000" w:fill="FFFFFF"/>
            <w:vAlign w:val="center"/>
            <w:hideMark/>
          </w:tcPr>
          <w:p w14:paraId="1F2AC7E2" w14:textId="0FD2F77F" w:rsidR="00753B45" w:rsidRPr="00F54EE1" w:rsidRDefault="00753B45" w:rsidP="00AA7AEF">
            <w:pPr>
              <w:spacing w:line="360" w:lineRule="auto"/>
              <w:rPr>
                <w:rFonts w:cs="Arial"/>
                <w:color w:val="000000"/>
                <w:szCs w:val="18"/>
                <w:lang w:eastAsia="zh-CN"/>
              </w:rPr>
            </w:pPr>
            <w:r w:rsidRPr="00F54EE1">
              <w:rPr>
                <w:rFonts w:cs="Arial"/>
                <w:szCs w:val="18"/>
                <w:lang w:eastAsia="es-ES_tradnl"/>
              </w:rPr>
              <w:t xml:space="preserve">% Kcal. </w:t>
            </w:r>
            <w:r w:rsidR="002365C8" w:rsidRPr="00F54EE1">
              <w:rPr>
                <w:rFonts w:cs="Arial"/>
                <w:szCs w:val="18"/>
                <w:lang w:eastAsia="es-ES_tradnl"/>
              </w:rPr>
              <w:t>From p</w:t>
            </w:r>
            <w:r w:rsidRPr="00F54EE1">
              <w:rPr>
                <w:rFonts w:cs="Arial"/>
                <w:szCs w:val="18"/>
                <w:lang w:eastAsia="es-ES_tradnl"/>
              </w:rPr>
              <w:t>rote</w:t>
            </w:r>
            <w:r w:rsidR="002365C8" w:rsidRPr="00F54EE1">
              <w:rPr>
                <w:rFonts w:cs="Arial"/>
                <w:szCs w:val="18"/>
                <w:lang w:eastAsia="es-ES_tradnl"/>
              </w:rPr>
              <w:t>i</w:t>
            </w:r>
            <w:r w:rsidRPr="00F54EE1">
              <w:rPr>
                <w:rFonts w:cs="Arial"/>
                <w:szCs w:val="18"/>
                <w:lang w:eastAsia="es-ES_tradnl"/>
              </w:rPr>
              <w:t>ns</w:t>
            </w:r>
          </w:p>
        </w:tc>
        <w:tc>
          <w:tcPr>
            <w:tcW w:w="1738" w:type="dxa"/>
            <w:shd w:val="clear" w:color="000000" w:fill="FFFFFF"/>
            <w:vAlign w:val="center"/>
            <w:hideMark/>
          </w:tcPr>
          <w:p w14:paraId="4742FE72" w14:textId="77777777" w:rsidR="00753B45" w:rsidRPr="00F54EE1" w:rsidRDefault="00753B45" w:rsidP="00AA7AEF">
            <w:pPr>
              <w:spacing w:line="360" w:lineRule="auto"/>
              <w:ind w:firstLineChars="13" w:firstLine="23"/>
              <w:jc w:val="center"/>
              <w:rPr>
                <w:rFonts w:cs="Arial"/>
                <w:color w:val="000000"/>
                <w:szCs w:val="18"/>
                <w:lang w:eastAsia="zh-CN"/>
              </w:rPr>
            </w:pPr>
            <w:r w:rsidRPr="00F54EE1">
              <w:rPr>
                <w:rFonts w:cs="Arial"/>
                <w:szCs w:val="18"/>
                <w:lang w:eastAsia="es-ES_tradnl"/>
              </w:rPr>
              <w:t>9.4</w:t>
            </w:r>
          </w:p>
        </w:tc>
      </w:tr>
    </w:tbl>
    <w:p w14:paraId="50EBF7A8" w14:textId="77777777" w:rsidR="00753B45" w:rsidRPr="00F54EE1" w:rsidRDefault="00753B45" w:rsidP="00753B45">
      <w:pPr>
        <w:pStyle w:val="CETBodytext"/>
        <w:rPr>
          <w:rFonts w:cs="Arial"/>
          <w:szCs w:val="18"/>
          <w:lang w:val="en-GB"/>
        </w:rPr>
      </w:pPr>
    </w:p>
    <w:p w14:paraId="0788C638" w14:textId="77777777" w:rsidR="00753B45" w:rsidRPr="00F54EE1" w:rsidRDefault="00753B45" w:rsidP="00753B45">
      <w:pPr>
        <w:pStyle w:val="CETBodytext"/>
        <w:rPr>
          <w:rFonts w:cs="Arial"/>
          <w:szCs w:val="18"/>
          <w:lang w:val="en-GB"/>
        </w:rPr>
      </w:pPr>
      <w:proofErr w:type="spellStart"/>
      <w:r w:rsidRPr="00F54EE1">
        <w:rPr>
          <w:rFonts w:cs="Arial"/>
          <w:b/>
          <w:bCs/>
          <w:szCs w:val="18"/>
          <w:lang w:val="en-GB"/>
        </w:rPr>
        <w:t>Tabla</w:t>
      </w:r>
      <w:proofErr w:type="spellEnd"/>
      <w:r w:rsidRPr="00F54EE1">
        <w:rPr>
          <w:rFonts w:cs="Arial"/>
          <w:b/>
          <w:bCs/>
          <w:szCs w:val="18"/>
          <w:lang w:val="en-GB"/>
        </w:rPr>
        <w:t xml:space="preserve"> 2</w:t>
      </w:r>
    </w:p>
    <w:p w14:paraId="33AB65A0" w14:textId="155DA0F8" w:rsidR="00753B45" w:rsidRPr="00F54EE1" w:rsidRDefault="002365C8" w:rsidP="00753B45">
      <w:pPr>
        <w:spacing w:line="480" w:lineRule="auto"/>
        <w:rPr>
          <w:rFonts w:cs="Arial"/>
          <w:i/>
          <w:iCs/>
          <w:szCs w:val="18"/>
        </w:rPr>
      </w:pPr>
      <w:proofErr w:type="spellStart"/>
      <w:r w:rsidRPr="00F54EE1">
        <w:rPr>
          <w:rFonts w:cs="Arial"/>
          <w:i/>
          <w:iCs/>
          <w:szCs w:val="18"/>
          <w:lang w:val="es-ES"/>
        </w:rPr>
        <w:t>Results</w:t>
      </w:r>
      <w:proofErr w:type="spellEnd"/>
      <w:r w:rsidRPr="00F54EE1">
        <w:rPr>
          <w:rFonts w:cs="Arial"/>
          <w:i/>
          <w:iCs/>
          <w:szCs w:val="18"/>
          <w:lang w:val="es-ES"/>
        </w:rPr>
        <w:t xml:space="preserve"> </w:t>
      </w:r>
      <w:proofErr w:type="spellStart"/>
      <w:r w:rsidRPr="00F54EE1">
        <w:rPr>
          <w:rFonts w:cs="Arial"/>
          <w:i/>
          <w:iCs/>
          <w:szCs w:val="18"/>
          <w:lang w:val="es-ES"/>
        </w:rPr>
        <w:t>of</w:t>
      </w:r>
      <w:proofErr w:type="spellEnd"/>
      <w:r w:rsidRPr="00F54EE1">
        <w:rPr>
          <w:rFonts w:cs="Arial"/>
          <w:i/>
          <w:iCs/>
          <w:szCs w:val="18"/>
          <w:lang w:val="es-ES"/>
        </w:rPr>
        <w:t xml:space="preserve"> </w:t>
      </w:r>
      <w:proofErr w:type="spellStart"/>
      <w:r w:rsidRPr="00F54EE1">
        <w:rPr>
          <w:rFonts w:cs="Arial"/>
          <w:i/>
          <w:iCs/>
          <w:szCs w:val="18"/>
          <w:lang w:val="es-ES"/>
        </w:rPr>
        <w:t>microbiological</w:t>
      </w:r>
      <w:proofErr w:type="spellEnd"/>
      <w:r w:rsidRPr="00F54EE1">
        <w:rPr>
          <w:rFonts w:cs="Arial"/>
          <w:i/>
          <w:iCs/>
          <w:szCs w:val="18"/>
          <w:lang w:val="es-ES"/>
        </w:rPr>
        <w:t xml:space="preserve"> </w:t>
      </w:r>
      <w:proofErr w:type="spellStart"/>
      <w:r w:rsidRPr="00F54EE1">
        <w:rPr>
          <w:rFonts w:cs="Arial"/>
          <w:i/>
          <w:iCs/>
          <w:szCs w:val="18"/>
          <w:lang w:val="es-ES"/>
        </w:rPr>
        <w:t>analysis</w:t>
      </w:r>
      <w:proofErr w:type="spellEnd"/>
    </w:p>
    <w:tbl>
      <w:tblPr>
        <w:tblW w:w="723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111"/>
        <w:gridCol w:w="3119"/>
      </w:tblGrid>
      <w:tr w:rsidR="00753B45" w:rsidRPr="00F54EE1" w14:paraId="11145D08" w14:textId="77777777" w:rsidTr="002365C8">
        <w:trPr>
          <w:trHeight w:val="20"/>
        </w:trPr>
        <w:tc>
          <w:tcPr>
            <w:tcW w:w="4111" w:type="dxa"/>
            <w:tcBorders>
              <w:top w:val="single" w:sz="4" w:space="0" w:color="auto"/>
            </w:tcBorders>
            <w:shd w:val="clear" w:color="000000" w:fill="FFFFFF"/>
            <w:vAlign w:val="center"/>
            <w:hideMark/>
          </w:tcPr>
          <w:p w14:paraId="516668B7" w14:textId="534FC254" w:rsidR="00753B45" w:rsidRPr="00F54EE1" w:rsidRDefault="00753B45" w:rsidP="00AA7AEF">
            <w:pPr>
              <w:spacing w:line="360" w:lineRule="auto"/>
              <w:rPr>
                <w:rFonts w:cs="Arial"/>
                <w:color w:val="000000"/>
                <w:szCs w:val="18"/>
                <w:lang w:val="it-IT" w:eastAsia="zh-CN"/>
              </w:rPr>
            </w:pPr>
            <w:r w:rsidRPr="00F54EE1">
              <w:rPr>
                <w:rFonts w:cs="Arial"/>
                <w:szCs w:val="18"/>
                <w:lang w:val="it-IT" w:eastAsia="es-ES_tradnl"/>
              </w:rPr>
              <w:t>N</w:t>
            </w:r>
            <w:r w:rsidR="002365C8" w:rsidRPr="00F54EE1">
              <w:rPr>
                <w:rFonts w:cs="Arial"/>
                <w:szCs w:val="18"/>
                <w:lang w:val="it-IT" w:eastAsia="es-ES_tradnl"/>
              </w:rPr>
              <w:t>umber</w:t>
            </w:r>
            <w:r w:rsidRPr="00F54EE1">
              <w:rPr>
                <w:rFonts w:cs="Arial"/>
                <w:szCs w:val="18"/>
                <w:lang w:val="it-IT" w:eastAsia="es-ES_tradnl"/>
              </w:rPr>
              <w:t xml:space="preserve"> </w:t>
            </w:r>
            <w:r w:rsidR="002365C8" w:rsidRPr="00F54EE1">
              <w:rPr>
                <w:rFonts w:cs="Arial"/>
                <w:szCs w:val="18"/>
                <w:lang w:val="it-IT" w:eastAsia="es-ES_tradnl"/>
              </w:rPr>
              <w:t>of</w:t>
            </w:r>
            <w:r w:rsidRPr="00F54EE1">
              <w:rPr>
                <w:rFonts w:cs="Arial"/>
                <w:szCs w:val="18"/>
                <w:lang w:val="it-IT" w:eastAsia="es-ES_tradnl"/>
              </w:rPr>
              <w:t xml:space="preserve"> </w:t>
            </w:r>
            <w:r w:rsidRPr="00F54EE1">
              <w:rPr>
                <w:rFonts w:cs="Arial"/>
                <w:i/>
                <w:iCs/>
                <w:color w:val="000000"/>
                <w:szCs w:val="18"/>
                <w:lang w:val="it-IT" w:eastAsia="es-ES_tradnl"/>
              </w:rPr>
              <w:t>E. coli</w:t>
            </w:r>
            <w:r w:rsidRPr="00F54EE1">
              <w:rPr>
                <w:rFonts w:cs="Arial"/>
                <w:color w:val="000000"/>
                <w:szCs w:val="18"/>
                <w:lang w:val="it-IT" w:eastAsia="es-ES_tradnl"/>
              </w:rPr>
              <w:t xml:space="preserve"> (NMP/g)</w:t>
            </w:r>
          </w:p>
        </w:tc>
        <w:tc>
          <w:tcPr>
            <w:tcW w:w="3119" w:type="dxa"/>
            <w:tcBorders>
              <w:top w:val="single" w:sz="4" w:space="0" w:color="auto"/>
            </w:tcBorders>
            <w:shd w:val="clear" w:color="000000" w:fill="FFFFFF"/>
            <w:vAlign w:val="center"/>
            <w:hideMark/>
          </w:tcPr>
          <w:p w14:paraId="60CC1A28" w14:textId="5C98E5F4" w:rsidR="00753B45" w:rsidRPr="00F54EE1" w:rsidRDefault="002365C8" w:rsidP="00AA7AEF">
            <w:pPr>
              <w:spacing w:line="360" w:lineRule="auto"/>
              <w:jc w:val="center"/>
              <w:rPr>
                <w:rFonts w:cs="Arial"/>
                <w:color w:val="000000"/>
                <w:szCs w:val="18"/>
                <w:lang w:eastAsia="zh-CN"/>
              </w:rPr>
            </w:pPr>
            <w:r w:rsidRPr="00F54EE1">
              <w:rPr>
                <w:rFonts w:cs="Arial"/>
                <w:szCs w:val="18"/>
                <w:lang w:eastAsia="es-ES_tradnl"/>
              </w:rPr>
              <w:t>Less than 1</w:t>
            </w:r>
          </w:p>
        </w:tc>
      </w:tr>
      <w:tr w:rsidR="00753B45" w:rsidRPr="00F54EE1" w14:paraId="7B33E9F1" w14:textId="77777777" w:rsidTr="002365C8">
        <w:trPr>
          <w:trHeight w:val="20"/>
        </w:trPr>
        <w:tc>
          <w:tcPr>
            <w:tcW w:w="4111" w:type="dxa"/>
            <w:shd w:val="clear" w:color="000000" w:fill="FFFFFF"/>
            <w:vAlign w:val="center"/>
            <w:hideMark/>
          </w:tcPr>
          <w:p w14:paraId="5541AFFB" w14:textId="3F4F6BD1" w:rsidR="00753B45" w:rsidRPr="00F54EE1" w:rsidRDefault="002365C8" w:rsidP="00AA7AEF">
            <w:pPr>
              <w:spacing w:line="360" w:lineRule="auto"/>
              <w:rPr>
                <w:rFonts w:cs="Arial"/>
                <w:color w:val="000000"/>
                <w:szCs w:val="18"/>
                <w:lang w:eastAsia="zh-CN"/>
              </w:rPr>
            </w:pPr>
            <w:r w:rsidRPr="00F54EE1">
              <w:rPr>
                <w:rFonts w:cs="Arial"/>
                <w:szCs w:val="18"/>
                <w:lang w:eastAsia="zh-CN"/>
              </w:rPr>
              <w:t>Number of</w:t>
            </w:r>
            <w:r w:rsidR="00753B45" w:rsidRPr="00F54EE1">
              <w:rPr>
                <w:rFonts w:cs="Arial"/>
                <w:szCs w:val="18"/>
                <w:lang w:eastAsia="zh-CN"/>
              </w:rPr>
              <w:t xml:space="preserve"> Mohos (UFC/g)</w:t>
            </w:r>
          </w:p>
        </w:tc>
        <w:tc>
          <w:tcPr>
            <w:tcW w:w="3119" w:type="dxa"/>
            <w:shd w:val="clear" w:color="000000" w:fill="FFFFFF"/>
            <w:vAlign w:val="center"/>
            <w:hideMark/>
          </w:tcPr>
          <w:p w14:paraId="5409133D" w14:textId="2EE33B0D" w:rsidR="00753B45" w:rsidRPr="00F54EE1" w:rsidRDefault="002365C8" w:rsidP="00AA7AEF">
            <w:pPr>
              <w:spacing w:line="360" w:lineRule="auto"/>
              <w:jc w:val="center"/>
              <w:rPr>
                <w:rFonts w:cs="Arial"/>
                <w:color w:val="000000"/>
                <w:szCs w:val="18"/>
                <w:lang w:eastAsia="zh-CN"/>
              </w:rPr>
            </w:pPr>
            <w:r w:rsidRPr="00F54EE1">
              <w:rPr>
                <w:rFonts w:cs="Arial"/>
                <w:szCs w:val="18"/>
                <w:lang w:eastAsia="es-ES_tradnl"/>
              </w:rPr>
              <w:t xml:space="preserve">Less than </w:t>
            </w:r>
            <w:r w:rsidR="00753B45" w:rsidRPr="00F54EE1">
              <w:rPr>
                <w:rFonts w:cs="Arial"/>
                <w:szCs w:val="18"/>
                <w:lang w:eastAsia="es-ES_tradnl"/>
              </w:rPr>
              <w:t>3 (Estima</w:t>
            </w:r>
            <w:r w:rsidRPr="00F54EE1">
              <w:rPr>
                <w:rFonts w:cs="Arial"/>
                <w:szCs w:val="18"/>
                <w:lang w:eastAsia="es-ES_tradnl"/>
              </w:rPr>
              <w:t>te</w:t>
            </w:r>
            <w:r w:rsidR="00753B45" w:rsidRPr="00F54EE1">
              <w:rPr>
                <w:rFonts w:cs="Arial"/>
                <w:szCs w:val="18"/>
                <w:lang w:eastAsia="es-ES_tradnl"/>
              </w:rPr>
              <w:t>)</w:t>
            </w:r>
          </w:p>
        </w:tc>
      </w:tr>
      <w:tr w:rsidR="00753B45" w:rsidRPr="00F54EE1" w14:paraId="61C561FB" w14:textId="77777777" w:rsidTr="002365C8">
        <w:trPr>
          <w:trHeight w:val="20"/>
        </w:trPr>
        <w:tc>
          <w:tcPr>
            <w:tcW w:w="4111" w:type="dxa"/>
            <w:shd w:val="clear" w:color="000000" w:fill="FFFFFF"/>
            <w:vAlign w:val="center"/>
            <w:hideMark/>
          </w:tcPr>
          <w:p w14:paraId="11A2BA24" w14:textId="6D2D9580" w:rsidR="00753B45" w:rsidRPr="00F54EE1" w:rsidRDefault="002365C8" w:rsidP="00AA7AEF">
            <w:pPr>
              <w:spacing w:line="360" w:lineRule="auto"/>
              <w:rPr>
                <w:rFonts w:cs="Arial"/>
                <w:color w:val="000000"/>
                <w:szCs w:val="18"/>
                <w:lang w:val="pt-PT" w:eastAsia="zh-CN"/>
              </w:rPr>
            </w:pPr>
            <w:r w:rsidRPr="00F54EE1">
              <w:rPr>
                <w:rFonts w:cs="Arial"/>
                <w:szCs w:val="18"/>
                <w:lang w:eastAsia="zh-CN"/>
              </w:rPr>
              <w:t>Number</w:t>
            </w:r>
            <w:r w:rsidR="00753B45" w:rsidRPr="00F54EE1">
              <w:rPr>
                <w:rFonts w:cs="Arial"/>
                <w:szCs w:val="18"/>
                <w:lang w:val="pt-PT" w:eastAsia="zh-CN"/>
              </w:rPr>
              <w:t xml:space="preserve"> de </w:t>
            </w:r>
            <w:r w:rsidR="00753B45" w:rsidRPr="00F54EE1">
              <w:rPr>
                <w:rFonts w:cs="Arial"/>
                <w:i/>
                <w:iCs/>
                <w:szCs w:val="18"/>
                <w:lang w:val="pt-PT" w:eastAsia="zh-CN"/>
              </w:rPr>
              <w:t>Staphylococcus aureus</w:t>
            </w:r>
            <w:r w:rsidR="00753B45" w:rsidRPr="00F54EE1">
              <w:rPr>
                <w:rFonts w:cs="Arial"/>
                <w:szCs w:val="18"/>
                <w:lang w:val="pt-PT" w:eastAsia="zh-CN"/>
              </w:rPr>
              <w:t xml:space="preserve"> (NMP/g)</w:t>
            </w:r>
          </w:p>
        </w:tc>
        <w:tc>
          <w:tcPr>
            <w:tcW w:w="3119" w:type="dxa"/>
            <w:shd w:val="clear" w:color="000000" w:fill="FFFFFF"/>
            <w:hideMark/>
          </w:tcPr>
          <w:p w14:paraId="2ACBA6A9" w14:textId="587695F7" w:rsidR="00753B45" w:rsidRPr="00F54EE1" w:rsidRDefault="002365C8" w:rsidP="00AA7AEF">
            <w:pPr>
              <w:spacing w:line="360" w:lineRule="auto"/>
              <w:jc w:val="center"/>
              <w:rPr>
                <w:rFonts w:cs="Arial"/>
                <w:color w:val="000000"/>
                <w:szCs w:val="18"/>
                <w:lang w:eastAsia="zh-CN"/>
              </w:rPr>
            </w:pPr>
            <w:r w:rsidRPr="00F54EE1">
              <w:rPr>
                <w:rFonts w:cs="Arial"/>
                <w:szCs w:val="18"/>
                <w:lang w:eastAsia="es-ES_tradnl"/>
              </w:rPr>
              <w:t xml:space="preserve">Less than </w:t>
            </w:r>
            <w:r w:rsidR="00753B45" w:rsidRPr="00F54EE1">
              <w:rPr>
                <w:rFonts w:cs="Arial"/>
                <w:szCs w:val="18"/>
                <w:lang w:eastAsia="es-ES_tradnl"/>
              </w:rPr>
              <w:t>3</w:t>
            </w:r>
          </w:p>
        </w:tc>
      </w:tr>
      <w:tr w:rsidR="00753B45" w:rsidRPr="00F54EE1" w14:paraId="124DEF71" w14:textId="77777777" w:rsidTr="002365C8">
        <w:trPr>
          <w:trHeight w:val="20"/>
        </w:trPr>
        <w:tc>
          <w:tcPr>
            <w:tcW w:w="4111" w:type="dxa"/>
            <w:shd w:val="clear" w:color="000000" w:fill="FFFFFF"/>
            <w:vAlign w:val="center"/>
            <w:hideMark/>
          </w:tcPr>
          <w:p w14:paraId="6C4CCA0D" w14:textId="3D1CF4A6" w:rsidR="00753B45" w:rsidRPr="00F54EE1" w:rsidRDefault="00753B45" w:rsidP="00AA7AEF">
            <w:pPr>
              <w:spacing w:line="360" w:lineRule="auto"/>
              <w:rPr>
                <w:rFonts w:cs="Arial"/>
                <w:color w:val="000000"/>
                <w:szCs w:val="18"/>
                <w:lang w:eastAsia="zh-CN"/>
              </w:rPr>
            </w:pPr>
            <w:r w:rsidRPr="00F54EE1">
              <w:rPr>
                <w:rFonts w:cs="Arial"/>
                <w:szCs w:val="18"/>
                <w:lang w:eastAsia="zh-CN"/>
              </w:rPr>
              <w:t>D</w:t>
            </w:r>
            <w:r w:rsidR="00D773ED" w:rsidRPr="00F54EE1">
              <w:rPr>
                <w:rFonts w:cs="Arial"/>
                <w:szCs w:val="18"/>
                <w:lang w:eastAsia="zh-CN"/>
              </w:rPr>
              <w:t>etermination</w:t>
            </w:r>
            <w:r w:rsidRPr="00F54EE1">
              <w:rPr>
                <w:rFonts w:cs="Arial"/>
                <w:szCs w:val="18"/>
                <w:lang w:eastAsia="zh-CN"/>
              </w:rPr>
              <w:t xml:space="preserve"> </w:t>
            </w:r>
            <w:r w:rsidR="002365C8" w:rsidRPr="00F54EE1">
              <w:rPr>
                <w:rFonts w:cs="Arial"/>
                <w:szCs w:val="18"/>
                <w:lang w:eastAsia="zh-CN"/>
              </w:rPr>
              <w:t>of</w:t>
            </w:r>
            <w:r w:rsidRPr="00F54EE1">
              <w:rPr>
                <w:rFonts w:cs="Arial"/>
                <w:szCs w:val="18"/>
                <w:lang w:eastAsia="zh-CN"/>
              </w:rPr>
              <w:t xml:space="preserve"> </w:t>
            </w:r>
            <w:r w:rsidRPr="00F54EE1">
              <w:rPr>
                <w:rFonts w:cs="Arial"/>
                <w:i/>
                <w:iCs/>
                <w:szCs w:val="18"/>
                <w:lang w:eastAsia="zh-CN"/>
              </w:rPr>
              <w:t>Salmonella sp</w:t>
            </w:r>
            <w:r w:rsidRPr="00F54EE1">
              <w:rPr>
                <w:rFonts w:cs="Arial"/>
                <w:szCs w:val="18"/>
                <w:lang w:eastAsia="zh-CN"/>
              </w:rPr>
              <w:t>. (</w:t>
            </w:r>
            <w:r w:rsidR="002365C8" w:rsidRPr="00F54EE1">
              <w:rPr>
                <w:rFonts w:cs="Arial"/>
                <w:szCs w:val="18"/>
                <w:lang w:eastAsia="zh-CN"/>
              </w:rPr>
              <w:t>i</w:t>
            </w:r>
            <w:r w:rsidRPr="00F54EE1">
              <w:rPr>
                <w:rFonts w:cs="Arial"/>
                <w:szCs w:val="18"/>
                <w:lang w:eastAsia="zh-CN"/>
              </w:rPr>
              <w:t>n 25g)</w:t>
            </w:r>
          </w:p>
        </w:tc>
        <w:tc>
          <w:tcPr>
            <w:tcW w:w="3119" w:type="dxa"/>
            <w:shd w:val="clear" w:color="000000" w:fill="FFFFFF"/>
            <w:vAlign w:val="center"/>
            <w:hideMark/>
          </w:tcPr>
          <w:p w14:paraId="58F035D4" w14:textId="7772E06C" w:rsidR="00753B45" w:rsidRPr="00F54EE1" w:rsidRDefault="002365C8" w:rsidP="00AA7AEF">
            <w:pPr>
              <w:spacing w:line="360" w:lineRule="auto"/>
              <w:jc w:val="center"/>
              <w:rPr>
                <w:rFonts w:cs="Arial"/>
                <w:color w:val="000000"/>
                <w:szCs w:val="18"/>
                <w:lang w:eastAsia="zh-CN"/>
              </w:rPr>
            </w:pPr>
            <w:r w:rsidRPr="00F54EE1">
              <w:rPr>
                <w:rFonts w:cs="Arial"/>
                <w:szCs w:val="18"/>
                <w:lang w:eastAsia="es-ES_tradnl"/>
              </w:rPr>
              <w:t>Absence</w:t>
            </w:r>
          </w:p>
        </w:tc>
      </w:tr>
    </w:tbl>
    <w:p w14:paraId="52E78B54" w14:textId="77777777" w:rsidR="00753B45" w:rsidRPr="00F54EE1" w:rsidRDefault="00753B45" w:rsidP="00753B45">
      <w:pPr>
        <w:pStyle w:val="CETBodytext"/>
        <w:rPr>
          <w:rFonts w:cs="Arial"/>
          <w:szCs w:val="18"/>
          <w:lang w:val="en-GB"/>
        </w:rPr>
      </w:pPr>
    </w:p>
    <w:p w14:paraId="17D90815" w14:textId="214902BF" w:rsidR="00753B45" w:rsidRPr="00F54EE1" w:rsidRDefault="002365C8" w:rsidP="00753B45">
      <w:pPr>
        <w:pStyle w:val="CETBodytext"/>
        <w:rPr>
          <w:rFonts w:cs="Arial"/>
          <w:szCs w:val="18"/>
          <w:lang w:val="en-GB"/>
        </w:rPr>
      </w:pPr>
      <w:r w:rsidRPr="00F54EE1">
        <w:rPr>
          <w:rFonts w:cs="Arial"/>
          <w:szCs w:val="18"/>
        </w:rPr>
        <w:t>Biscuits enriched with enzymatic hydrolysate of anchovy were subjected to a degree of acceptability using the hedonic scale with a panel of 15 consumers of preschool age.</w:t>
      </w:r>
    </w:p>
    <w:p w14:paraId="7C17DD0D" w14:textId="77777777" w:rsidR="00753B45" w:rsidRPr="00F54EE1" w:rsidRDefault="00753B45" w:rsidP="00753B45">
      <w:pPr>
        <w:pStyle w:val="CETBodytext"/>
        <w:rPr>
          <w:rFonts w:cs="Arial"/>
          <w:b/>
          <w:bCs/>
          <w:szCs w:val="18"/>
          <w:lang w:val="en-GB"/>
        </w:rPr>
      </w:pPr>
    </w:p>
    <w:p w14:paraId="3A882A3E" w14:textId="77777777" w:rsidR="00753B45" w:rsidRPr="00F54EE1" w:rsidRDefault="00753B45" w:rsidP="00753B45">
      <w:pPr>
        <w:pStyle w:val="CETBodytext"/>
        <w:rPr>
          <w:rFonts w:cs="Arial"/>
          <w:szCs w:val="18"/>
          <w:lang w:val="en-GB"/>
        </w:rPr>
      </w:pPr>
      <w:proofErr w:type="spellStart"/>
      <w:r w:rsidRPr="00F54EE1">
        <w:rPr>
          <w:rFonts w:cs="Arial"/>
          <w:b/>
          <w:bCs/>
          <w:szCs w:val="18"/>
          <w:lang w:val="en-GB"/>
        </w:rPr>
        <w:t>Tabla</w:t>
      </w:r>
      <w:proofErr w:type="spellEnd"/>
      <w:r w:rsidRPr="00F54EE1">
        <w:rPr>
          <w:rFonts w:cs="Arial"/>
          <w:b/>
          <w:bCs/>
          <w:szCs w:val="18"/>
          <w:lang w:val="en-GB"/>
        </w:rPr>
        <w:t xml:space="preserve"> 3</w:t>
      </w:r>
    </w:p>
    <w:p w14:paraId="14C9635E" w14:textId="77777777" w:rsidR="00753B45" w:rsidRPr="00F54EE1" w:rsidRDefault="00753B45" w:rsidP="00753B45">
      <w:pPr>
        <w:pStyle w:val="CETBodytext"/>
        <w:rPr>
          <w:rFonts w:cs="Arial"/>
          <w:szCs w:val="18"/>
          <w:lang w:val="en-GB"/>
        </w:rPr>
      </w:pPr>
      <w:r w:rsidRPr="00F54EE1">
        <w:rPr>
          <w:rFonts w:cs="Arial"/>
          <w:i/>
          <w:position w:val="-1"/>
          <w:szCs w:val="18"/>
        </w:rPr>
        <w:t>Acceptability level of biscuits enriched with enzymatic fish hydrolysate</w:t>
      </w:r>
    </w:p>
    <w:p w14:paraId="0CF5D4A2" w14:textId="56BA91F9" w:rsidR="00753B45" w:rsidRPr="00F54EE1" w:rsidRDefault="00D773ED" w:rsidP="00753B45">
      <w:pPr>
        <w:pStyle w:val="CETBodytext"/>
        <w:rPr>
          <w:rFonts w:cs="Arial"/>
          <w:szCs w:val="18"/>
          <w:lang w:val="en-GB"/>
        </w:rPr>
      </w:pPr>
      <w:r w:rsidRPr="00F54EE1">
        <w:rPr>
          <w:rFonts w:cs="Arial"/>
          <w:noProof/>
          <w:szCs w:val="18"/>
        </w:rPr>
        <w:drawing>
          <wp:inline distT="0" distB="0" distL="0" distR="0" wp14:anchorId="43332CF4" wp14:editId="7989C83C">
            <wp:extent cx="5044552" cy="1771650"/>
            <wp:effectExtent l="0" t="0" r="3810" b="0"/>
            <wp:docPr id="177568935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3081" cy="1774645"/>
                    </a:xfrm>
                    <a:prstGeom prst="rect">
                      <a:avLst/>
                    </a:prstGeom>
                    <a:noFill/>
                    <a:ln>
                      <a:noFill/>
                    </a:ln>
                  </pic:spPr>
                </pic:pic>
              </a:graphicData>
            </a:graphic>
          </wp:inline>
        </w:drawing>
      </w:r>
    </w:p>
    <w:p w14:paraId="4DEB0944" w14:textId="77777777" w:rsidR="00753B45" w:rsidRPr="00F54EE1" w:rsidRDefault="00753B45" w:rsidP="00753B45">
      <w:pPr>
        <w:pStyle w:val="CETBodytext"/>
        <w:rPr>
          <w:rFonts w:cs="Arial"/>
          <w:szCs w:val="18"/>
          <w:lang w:val="en-GB"/>
        </w:rPr>
      </w:pPr>
    </w:p>
    <w:p w14:paraId="4CCF5B4E" w14:textId="7EB240EA" w:rsidR="00753B45" w:rsidRPr="00F54EE1" w:rsidRDefault="002365C8" w:rsidP="00753B45">
      <w:pPr>
        <w:pStyle w:val="CETBodytext"/>
        <w:rPr>
          <w:rFonts w:cs="Arial"/>
          <w:szCs w:val="18"/>
          <w:lang w:val="en-GB"/>
        </w:rPr>
      </w:pPr>
      <w:r w:rsidRPr="00F54EE1">
        <w:rPr>
          <w:rFonts w:cs="Arial"/>
          <w:szCs w:val="18"/>
          <w:lang w:val="en-GB"/>
        </w:rPr>
        <w:t>Based on the results, the 36-month-old students who tasted the biscuits fortified with enzymatic hydrolysate of anchovy, the formula that has 8% have a higher acceptability compared to the biscuits fortified with 10 and 20% of enzymatic hydrolysate of anchovy. Regarding the acceptability, 93.33% of the tasters stated that they loved the biscuits that contained 8% of the enzymatic hydrolysate of fish.</w:t>
      </w:r>
    </w:p>
    <w:p w14:paraId="49EEA4DD" w14:textId="77777777" w:rsidR="00753B45" w:rsidRPr="00F54EE1" w:rsidRDefault="00753B45" w:rsidP="00753B45">
      <w:pPr>
        <w:pStyle w:val="CETBodytext"/>
        <w:rPr>
          <w:rFonts w:cs="Arial"/>
          <w:szCs w:val="18"/>
          <w:lang w:val="en-GB"/>
        </w:rPr>
      </w:pPr>
    </w:p>
    <w:p w14:paraId="633790D8" w14:textId="77777777" w:rsidR="00753B45" w:rsidRPr="00F54EE1" w:rsidRDefault="00753B45" w:rsidP="00753B45">
      <w:pPr>
        <w:pStyle w:val="CETBodytext"/>
        <w:rPr>
          <w:rFonts w:cs="Arial"/>
          <w:szCs w:val="18"/>
          <w:lang w:val="en-GB"/>
        </w:rPr>
      </w:pPr>
      <w:proofErr w:type="spellStart"/>
      <w:r w:rsidRPr="00F54EE1">
        <w:rPr>
          <w:rFonts w:cs="Arial"/>
          <w:b/>
          <w:bCs/>
          <w:szCs w:val="18"/>
          <w:lang w:val="en-GB"/>
        </w:rPr>
        <w:t>Tabla</w:t>
      </w:r>
      <w:proofErr w:type="spellEnd"/>
      <w:r w:rsidRPr="00F54EE1">
        <w:rPr>
          <w:rFonts w:cs="Arial"/>
          <w:b/>
          <w:bCs/>
          <w:szCs w:val="18"/>
          <w:lang w:val="en-GB"/>
        </w:rPr>
        <w:t xml:space="preserve"> 4</w:t>
      </w:r>
    </w:p>
    <w:tbl>
      <w:tblPr>
        <w:tblW w:w="7520" w:type="dxa"/>
        <w:tblCellMar>
          <w:left w:w="70" w:type="dxa"/>
          <w:right w:w="70" w:type="dxa"/>
        </w:tblCellMar>
        <w:tblLook w:val="04A0" w:firstRow="1" w:lastRow="0" w:firstColumn="1" w:lastColumn="0" w:noHBand="0" w:noVBand="1"/>
      </w:tblPr>
      <w:tblGrid>
        <w:gridCol w:w="2080"/>
        <w:gridCol w:w="2200"/>
        <w:gridCol w:w="3240"/>
      </w:tblGrid>
      <w:tr w:rsidR="00753B45" w:rsidRPr="00D02506" w14:paraId="0E19411D" w14:textId="77777777" w:rsidTr="00AA7AEF">
        <w:trPr>
          <w:trHeight w:val="300"/>
        </w:trPr>
        <w:tc>
          <w:tcPr>
            <w:tcW w:w="7520" w:type="dxa"/>
            <w:gridSpan w:val="3"/>
            <w:tcBorders>
              <w:top w:val="nil"/>
              <w:left w:val="nil"/>
              <w:bottom w:val="nil"/>
              <w:right w:val="nil"/>
            </w:tcBorders>
            <w:shd w:val="clear" w:color="auto" w:fill="auto"/>
            <w:noWrap/>
            <w:vAlign w:val="bottom"/>
            <w:hideMark/>
          </w:tcPr>
          <w:p w14:paraId="65BC9126" w14:textId="77777777" w:rsidR="00753B45" w:rsidRPr="007139D4" w:rsidRDefault="00753B45" w:rsidP="00AA7AEF">
            <w:pPr>
              <w:tabs>
                <w:tab w:val="clear" w:pos="7100"/>
              </w:tabs>
              <w:spacing w:line="360" w:lineRule="auto"/>
              <w:jc w:val="left"/>
              <w:rPr>
                <w:rFonts w:cs="Arial"/>
                <w:color w:val="000000"/>
                <w:szCs w:val="18"/>
                <w:lang w:val="en-US" w:eastAsia="zh-CN"/>
              </w:rPr>
            </w:pPr>
            <w:r w:rsidRPr="007139D4">
              <w:rPr>
                <w:rFonts w:cs="Arial"/>
                <w:color w:val="000000"/>
                <w:szCs w:val="18"/>
                <w:lang w:val="en-US" w:eastAsia="zh-CN"/>
              </w:rPr>
              <w:t>Determination of hemoglobin level in children aged 36 months</w:t>
            </w:r>
          </w:p>
        </w:tc>
      </w:tr>
      <w:tr w:rsidR="00753B45" w:rsidRPr="00D02506" w14:paraId="14DAC0D8" w14:textId="77777777" w:rsidTr="00AA7AEF">
        <w:trPr>
          <w:trHeight w:val="600"/>
        </w:trPr>
        <w:tc>
          <w:tcPr>
            <w:tcW w:w="2080" w:type="dxa"/>
            <w:tcBorders>
              <w:top w:val="single" w:sz="4" w:space="0" w:color="auto"/>
              <w:left w:val="nil"/>
              <w:bottom w:val="single" w:sz="4" w:space="0" w:color="auto"/>
              <w:right w:val="nil"/>
            </w:tcBorders>
            <w:shd w:val="clear" w:color="auto" w:fill="auto"/>
            <w:vAlign w:val="center"/>
            <w:hideMark/>
          </w:tcPr>
          <w:p w14:paraId="79E3B4FF" w14:textId="77777777" w:rsidR="00753B45" w:rsidRPr="00D02506" w:rsidRDefault="00753B45" w:rsidP="00AA7AEF">
            <w:pPr>
              <w:tabs>
                <w:tab w:val="clear" w:pos="7100"/>
              </w:tabs>
              <w:spacing w:line="240" w:lineRule="auto"/>
              <w:jc w:val="center"/>
              <w:rPr>
                <w:rFonts w:cs="Arial"/>
                <w:color w:val="000000"/>
                <w:szCs w:val="18"/>
                <w:lang w:val="it-IT" w:eastAsia="zh-CN"/>
              </w:rPr>
            </w:pPr>
            <w:r w:rsidRPr="00D02506">
              <w:rPr>
                <w:rFonts w:cs="Arial"/>
                <w:color w:val="000000"/>
                <w:szCs w:val="18"/>
                <w:lang w:val="it-IT" w:eastAsia="zh-CN"/>
              </w:rPr>
              <w:t>Hemoglobin Level (in g/dL)</w:t>
            </w:r>
          </w:p>
        </w:tc>
        <w:tc>
          <w:tcPr>
            <w:tcW w:w="2200" w:type="dxa"/>
            <w:tcBorders>
              <w:top w:val="single" w:sz="4" w:space="0" w:color="auto"/>
              <w:left w:val="nil"/>
              <w:bottom w:val="single" w:sz="4" w:space="0" w:color="auto"/>
              <w:right w:val="nil"/>
            </w:tcBorders>
            <w:shd w:val="clear" w:color="auto" w:fill="auto"/>
            <w:vAlign w:val="center"/>
            <w:hideMark/>
          </w:tcPr>
          <w:p w14:paraId="2FA39512" w14:textId="77777777" w:rsidR="00753B45" w:rsidRPr="00D02506" w:rsidRDefault="00753B45" w:rsidP="00AA7AEF">
            <w:pPr>
              <w:tabs>
                <w:tab w:val="clear" w:pos="7100"/>
              </w:tabs>
              <w:spacing w:line="240" w:lineRule="auto"/>
              <w:jc w:val="center"/>
              <w:rPr>
                <w:rFonts w:cs="Arial"/>
                <w:color w:val="000000"/>
                <w:szCs w:val="18"/>
                <w:lang w:val="it-IT" w:eastAsia="zh-CN"/>
              </w:rPr>
            </w:pPr>
            <w:r w:rsidRPr="00D02506">
              <w:rPr>
                <w:rFonts w:cs="Arial"/>
                <w:color w:val="000000"/>
                <w:szCs w:val="18"/>
                <w:lang w:val="it-IT" w:eastAsia="zh-CN"/>
              </w:rPr>
              <w:t>At the beginning of cookie consumption</w:t>
            </w:r>
          </w:p>
        </w:tc>
        <w:tc>
          <w:tcPr>
            <w:tcW w:w="3240" w:type="dxa"/>
            <w:tcBorders>
              <w:top w:val="single" w:sz="4" w:space="0" w:color="auto"/>
              <w:left w:val="nil"/>
              <w:bottom w:val="single" w:sz="4" w:space="0" w:color="auto"/>
              <w:right w:val="nil"/>
            </w:tcBorders>
            <w:shd w:val="clear" w:color="auto" w:fill="auto"/>
            <w:vAlign w:val="center"/>
            <w:hideMark/>
          </w:tcPr>
          <w:p w14:paraId="319AA5E3" w14:textId="77777777" w:rsidR="00753B45" w:rsidRPr="00D02506" w:rsidRDefault="00753B45" w:rsidP="00AA7AEF">
            <w:pPr>
              <w:tabs>
                <w:tab w:val="clear" w:pos="7100"/>
              </w:tabs>
              <w:spacing w:line="240" w:lineRule="auto"/>
              <w:jc w:val="center"/>
              <w:rPr>
                <w:rFonts w:cs="Arial"/>
                <w:color w:val="000000"/>
                <w:szCs w:val="18"/>
                <w:lang w:val="it-IT" w:eastAsia="zh-CN"/>
              </w:rPr>
            </w:pPr>
            <w:r w:rsidRPr="00D02506">
              <w:rPr>
                <w:rFonts w:cs="Arial"/>
                <w:color w:val="000000"/>
                <w:szCs w:val="18"/>
                <w:lang w:val="it-IT" w:eastAsia="zh-CN"/>
              </w:rPr>
              <w:t>45 days after the start of cookie consumption</w:t>
            </w:r>
          </w:p>
        </w:tc>
      </w:tr>
      <w:tr w:rsidR="00753B45" w:rsidRPr="00D02506" w14:paraId="11DD912A" w14:textId="77777777" w:rsidTr="00AA7AEF">
        <w:trPr>
          <w:trHeight w:hRule="exact" w:val="480"/>
        </w:trPr>
        <w:tc>
          <w:tcPr>
            <w:tcW w:w="2080" w:type="dxa"/>
            <w:tcBorders>
              <w:top w:val="nil"/>
              <w:left w:val="nil"/>
              <w:bottom w:val="nil"/>
              <w:right w:val="nil"/>
            </w:tcBorders>
            <w:shd w:val="clear" w:color="auto" w:fill="auto"/>
            <w:vAlign w:val="center"/>
            <w:hideMark/>
          </w:tcPr>
          <w:p w14:paraId="2724EDF8" w14:textId="77777777" w:rsidR="00753B45" w:rsidRPr="00D02506" w:rsidRDefault="00753B45" w:rsidP="00AA7AEF">
            <w:pPr>
              <w:tabs>
                <w:tab w:val="clear" w:pos="7100"/>
              </w:tabs>
              <w:spacing w:line="240" w:lineRule="auto"/>
              <w:jc w:val="center"/>
              <w:rPr>
                <w:rFonts w:cs="Arial"/>
                <w:color w:val="000000"/>
                <w:szCs w:val="18"/>
                <w:lang w:val="es-PE" w:eastAsia="zh-CN"/>
              </w:rPr>
            </w:pPr>
            <w:r w:rsidRPr="00D02506">
              <w:rPr>
                <w:rFonts w:cs="Arial"/>
                <w:color w:val="000000"/>
                <w:szCs w:val="18"/>
                <w:lang w:val="en-US" w:eastAsia="zh-CN"/>
              </w:rPr>
              <w:t>10.6 a 11</w:t>
            </w:r>
          </w:p>
        </w:tc>
        <w:tc>
          <w:tcPr>
            <w:tcW w:w="2200" w:type="dxa"/>
            <w:tcBorders>
              <w:top w:val="nil"/>
              <w:left w:val="nil"/>
              <w:bottom w:val="nil"/>
              <w:right w:val="nil"/>
            </w:tcBorders>
            <w:shd w:val="clear" w:color="auto" w:fill="auto"/>
            <w:vAlign w:val="center"/>
            <w:hideMark/>
          </w:tcPr>
          <w:p w14:paraId="4ECA1238" w14:textId="77777777" w:rsidR="00753B45" w:rsidRPr="00D02506" w:rsidRDefault="00753B45" w:rsidP="00AA7AEF">
            <w:pPr>
              <w:tabs>
                <w:tab w:val="clear" w:pos="7100"/>
              </w:tabs>
              <w:spacing w:line="240" w:lineRule="auto"/>
              <w:jc w:val="center"/>
              <w:rPr>
                <w:rFonts w:cs="Arial"/>
                <w:color w:val="000000"/>
                <w:szCs w:val="18"/>
                <w:lang w:val="es-PE" w:eastAsia="zh-CN"/>
              </w:rPr>
            </w:pPr>
            <w:r w:rsidRPr="00D02506">
              <w:rPr>
                <w:rFonts w:cs="Arial"/>
                <w:color w:val="000000"/>
                <w:szCs w:val="18"/>
                <w:lang w:val="es-PE" w:eastAsia="zh-CN"/>
              </w:rPr>
              <w:t>8</w:t>
            </w:r>
          </w:p>
        </w:tc>
        <w:tc>
          <w:tcPr>
            <w:tcW w:w="3240" w:type="dxa"/>
            <w:tcBorders>
              <w:top w:val="nil"/>
              <w:left w:val="nil"/>
              <w:bottom w:val="nil"/>
              <w:right w:val="nil"/>
            </w:tcBorders>
            <w:shd w:val="clear" w:color="auto" w:fill="auto"/>
            <w:vAlign w:val="center"/>
            <w:hideMark/>
          </w:tcPr>
          <w:p w14:paraId="3929C0FE" w14:textId="77777777" w:rsidR="00753B45" w:rsidRPr="00D02506" w:rsidRDefault="00753B45" w:rsidP="00AA7AEF">
            <w:pPr>
              <w:tabs>
                <w:tab w:val="clear" w:pos="7100"/>
              </w:tabs>
              <w:spacing w:line="240" w:lineRule="auto"/>
              <w:jc w:val="center"/>
              <w:rPr>
                <w:rFonts w:cs="Arial"/>
                <w:color w:val="000000"/>
                <w:szCs w:val="18"/>
                <w:lang w:val="es-PE" w:eastAsia="zh-CN"/>
              </w:rPr>
            </w:pPr>
            <w:r w:rsidRPr="00D02506">
              <w:rPr>
                <w:rFonts w:cs="Arial"/>
                <w:color w:val="000000"/>
                <w:szCs w:val="18"/>
                <w:lang w:val="es-PE" w:eastAsia="zh-CN"/>
              </w:rPr>
              <w:t>2</w:t>
            </w:r>
          </w:p>
        </w:tc>
      </w:tr>
      <w:tr w:rsidR="00753B45" w:rsidRPr="00D02506" w14:paraId="50A5B57F" w14:textId="77777777" w:rsidTr="00AA7AEF">
        <w:trPr>
          <w:trHeight w:val="480"/>
        </w:trPr>
        <w:tc>
          <w:tcPr>
            <w:tcW w:w="2080" w:type="dxa"/>
            <w:tcBorders>
              <w:top w:val="nil"/>
              <w:left w:val="nil"/>
              <w:bottom w:val="nil"/>
              <w:right w:val="nil"/>
            </w:tcBorders>
            <w:shd w:val="clear" w:color="auto" w:fill="auto"/>
            <w:vAlign w:val="center"/>
            <w:hideMark/>
          </w:tcPr>
          <w:p w14:paraId="7C16B745" w14:textId="77777777" w:rsidR="00753B45" w:rsidRPr="00D02506" w:rsidRDefault="00753B45" w:rsidP="00AA7AEF">
            <w:pPr>
              <w:tabs>
                <w:tab w:val="clear" w:pos="7100"/>
              </w:tabs>
              <w:spacing w:line="240" w:lineRule="auto"/>
              <w:jc w:val="center"/>
              <w:rPr>
                <w:rFonts w:cs="Arial"/>
                <w:color w:val="000000"/>
                <w:szCs w:val="18"/>
                <w:lang w:val="es-PE" w:eastAsia="zh-CN"/>
              </w:rPr>
            </w:pPr>
            <w:r w:rsidRPr="00D02506">
              <w:rPr>
                <w:rFonts w:cs="Arial"/>
                <w:color w:val="000000"/>
                <w:szCs w:val="18"/>
                <w:lang w:val="en-US" w:eastAsia="zh-CN"/>
              </w:rPr>
              <w:t>11.1 a 12</w:t>
            </w:r>
          </w:p>
        </w:tc>
        <w:tc>
          <w:tcPr>
            <w:tcW w:w="2200" w:type="dxa"/>
            <w:tcBorders>
              <w:top w:val="nil"/>
              <w:left w:val="nil"/>
              <w:bottom w:val="nil"/>
              <w:right w:val="nil"/>
            </w:tcBorders>
            <w:shd w:val="clear" w:color="auto" w:fill="auto"/>
            <w:vAlign w:val="center"/>
            <w:hideMark/>
          </w:tcPr>
          <w:p w14:paraId="0E81C90E" w14:textId="77777777" w:rsidR="00753B45" w:rsidRPr="00D02506" w:rsidRDefault="00753B45" w:rsidP="00AA7AEF">
            <w:pPr>
              <w:tabs>
                <w:tab w:val="clear" w:pos="7100"/>
              </w:tabs>
              <w:spacing w:line="240" w:lineRule="auto"/>
              <w:jc w:val="center"/>
              <w:rPr>
                <w:rFonts w:cs="Arial"/>
                <w:color w:val="000000"/>
                <w:szCs w:val="18"/>
                <w:lang w:val="es-PE" w:eastAsia="zh-CN"/>
              </w:rPr>
            </w:pPr>
            <w:r w:rsidRPr="00D02506">
              <w:rPr>
                <w:rFonts w:cs="Arial"/>
                <w:color w:val="000000"/>
                <w:szCs w:val="18"/>
                <w:lang w:val="es-PE" w:eastAsia="zh-CN"/>
              </w:rPr>
              <w:t>4</w:t>
            </w:r>
          </w:p>
        </w:tc>
        <w:tc>
          <w:tcPr>
            <w:tcW w:w="3240" w:type="dxa"/>
            <w:tcBorders>
              <w:top w:val="nil"/>
              <w:left w:val="nil"/>
              <w:bottom w:val="nil"/>
              <w:right w:val="nil"/>
            </w:tcBorders>
            <w:shd w:val="clear" w:color="auto" w:fill="auto"/>
            <w:vAlign w:val="center"/>
            <w:hideMark/>
          </w:tcPr>
          <w:p w14:paraId="240AE2A6" w14:textId="77777777" w:rsidR="00753B45" w:rsidRPr="00D02506" w:rsidRDefault="00753B45" w:rsidP="00AA7AEF">
            <w:pPr>
              <w:tabs>
                <w:tab w:val="clear" w:pos="7100"/>
              </w:tabs>
              <w:spacing w:line="240" w:lineRule="auto"/>
              <w:jc w:val="center"/>
              <w:rPr>
                <w:rFonts w:cs="Arial"/>
                <w:color w:val="000000"/>
                <w:szCs w:val="18"/>
                <w:lang w:val="es-PE" w:eastAsia="zh-CN"/>
              </w:rPr>
            </w:pPr>
            <w:r w:rsidRPr="00D02506">
              <w:rPr>
                <w:rFonts w:cs="Arial"/>
                <w:color w:val="000000"/>
                <w:szCs w:val="18"/>
                <w:lang w:val="es-PE" w:eastAsia="zh-CN"/>
              </w:rPr>
              <w:t>6</w:t>
            </w:r>
          </w:p>
        </w:tc>
      </w:tr>
      <w:tr w:rsidR="00753B45" w:rsidRPr="00D02506" w14:paraId="28395C60" w14:textId="77777777" w:rsidTr="00AA7AEF">
        <w:trPr>
          <w:trHeight w:val="480"/>
        </w:trPr>
        <w:tc>
          <w:tcPr>
            <w:tcW w:w="2080" w:type="dxa"/>
            <w:tcBorders>
              <w:top w:val="nil"/>
              <w:left w:val="nil"/>
              <w:bottom w:val="nil"/>
              <w:right w:val="nil"/>
            </w:tcBorders>
            <w:shd w:val="clear" w:color="auto" w:fill="auto"/>
            <w:vAlign w:val="center"/>
            <w:hideMark/>
          </w:tcPr>
          <w:p w14:paraId="0030B603" w14:textId="77777777" w:rsidR="00753B45" w:rsidRPr="00D02506" w:rsidRDefault="00753B45" w:rsidP="00AA7AEF">
            <w:pPr>
              <w:tabs>
                <w:tab w:val="clear" w:pos="7100"/>
              </w:tabs>
              <w:spacing w:line="240" w:lineRule="auto"/>
              <w:jc w:val="center"/>
              <w:rPr>
                <w:rFonts w:cs="Arial"/>
                <w:color w:val="000000"/>
                <w:szCs w:val="18"/>
                <w:lang w:val="es-PE" w:eastAsia="zh-CN"/>
              </w:rPr>
            </w:pPr>
            <w:r w:rsidRPr="00D02506">
              <w:rPr>
                <w:rFonts w:cs="Arial"/>
                <w:color w:val="000000"/>
                <w:szCs w:val="18"/>
                <w:lang w:val="en-US" w:eastAsia="zh-CN"/>
              </w:rPr>
              <w:t>13.1 or more</w:t>
            </w:r>
          </w:p>
        </w:tc>
        <w:tc>
          <w:tcPr>
            <w:tcW w:w="2200" w:type="dxa"/>
            <w:tcBorders>
              <w:top w:val="nil"/>
              <w:left w:val="nil"/>
              <w:bottom w:val="nil"/>
              <w:right w:val="nil"/>
            </w:tcBorders>
            <w:shd w:val="clear" w:color="auto" w:fill="auto"/>
            <w:vAlign w:val="center"/>
            <w:hideMark/>
          </w:tcPr>
          <w:p w14:paraId="67C341A4" w14:textId="77777777" w:rsidR="00753B45" w:rsidRPr="00D02506" w:rsidRDefault="00753B45" w:rsidP="00AA7AEF">
            <w:pPr>
              <w:tabs>
                <w:tab w:val="clear" w:pos="7100"/>
              </w:tabs>
              <w:spacing w:line="240" w:lineRule="auto"/>
              <w:jc w:val="center"/>
              <w:rPr>
                <w:rFonts w:cs="Arial"/>
                <w:color w:val="000000"/>
                <w:szCs w:val="18"/>
                <w:lang w:val="es-PE" w:eastAsia="zh-CN"/>
              </w:rPr>
            </w:pPr>
            <w:r w:rsidRPr="00D02506">
              <w:rPr>
                <w:rFonts w:cs="Arial"/>
                <w:color w:val="000000"/>
                <w:szCs w:val="18"/>
                <w:lang w:val="es-PE" w:eastAsia="zh-CN"/>
              </w:rPr>
              <w:t>3</w:t>
            </w:r>
          </w:p>
        </w:tc>
        <w:tc>
          <w:tcPr>
            <w:tcW w:w="3240" w:type="dxa"/>
            <w:tcBorders>
              <w:top w:val="nil"/>
              <w:left w:val="nil"/>
              <w:bottom w:val="nil"/>
              <w:right w:val="nil"/>
            </w:tcBorders>
            <w:shd w:val="clear" w:color="auto" w:fill="auto"/>
            <w:vAlign w:val="center"/>
            <w:hideMark/>
          </w:tcPr>
          <w:p w14:paraId="48BA2565" w14:textId="77777777" w:rsidR="00753B45" w:rsidRPr="00D02506" w:rsidRDefault="00753B45" w:rsidP="00AA7AEF">
            <w:pPr>
              <w:tabs>
                <w:tab w:val="clear" w:pos="7100"/>
              </w:tabs>
              <w:spacing w:line="240" w:lineRule="auto"/>
              <w:jc w:val="center"/>
              <w:rPr>
                <w:rFonts w:cs="Arial"/>
                <w:color w:val="000000"/>
                <w:szCs w:val="18"/>
                <w:lang w:val="es-PE" w:eastAsia="zh-CN"/>
              </w:rPr>
            </w:pPr>
            <w:r w:rsidRPr="00D02506">
              <w:rPr>
                <w:rFonts w:cs="Arial"/>
                <w:color w:val="000000"/>
                <w:szCs w:val="18"/>
                <w:lang w:val="es-PE" w:eastAsia="zh-CN"/>
              </w:rPr>
              <w:t>7</w:t>
            </w:r>
          </w:p>
        </w:tc>
      </w:tr>
      <w:tr w:rsidR="00753B45" w:rsidRPr="00D02506" w14:paraId="5967CB3A" w14:textId="77777777" w:rsidTr="00AA7AEF">
        <w:trPr>
          <w:trHeight w:hRule="exact" w:val="300"/>
        </w:trPr>
        <w:tc>
          <w:tcPr>
            <w:tcW w:w="2080" w:type="dxa"/>
            <w:tcBorders>
              <w:top w:val="single" w:sz="4" w:space="0" w:color="auto"/>
              <w:left w:val="nil"/>
              <w:bottom w:val="single" w:sz="4" w:space="0" w:color="auto"/>
              <w:right w:val="nil"/>
            </w:tcBorders>
            <w:shd w:val="clear" w:color="auto" w:fill="auto"/>
            <w:vAlign w:val="center"/>
            <w:hideMark/>
          </w:tcPr>
          <w:p w14:paraId="3B9989B2" w14:textId="77777777" w:rsidR="00753B45" w:rsidRPr="00D02506" w:rsidRDefault="00753B45" w:rsidP="00AA7AEF">
            <w:pPr>
              <w:tabs>
                <w:tab w:val="clear" w:pos="7100"/>
              </w:tabs>
              <w:spacing w:line="240" w:lineRule="auto"/>
              <w:jc w:val="center"/>
              <w:rPr>
                <w:rFonts w:cs="Arial"/>
                <w:color w:val="000000"/>
                <w:szCs w:val="18"/>
                <w:lang w:val="es-PE" w:eastAsia="zh-CN"/>
              </w:rPr>
            </w:pPr>
            <w:r w:rsidRPr="00D02506">
              <w:rPr>
                <w:rFonts w:cs="Arial"/>
                <w:color w:val="000000"/>
                <w:szCs w:val="18"/>
                <w:lang w:val="en-US" w:eastAsia="zh-CN"/>
              </w:rPr>
              <w:t>Total</w:t>
            </w:r>
          </w:p>
        </w:tc>
        <w:tc>
          <w:tcPr>
            <w:tcW w:w="2200" w:type="dxa"/>
            <w:tcBorders>
              <w:top w:val="single" w:sz="4" w:space="0" w:color="auto"/>
              <w:left w:val="nil"/>
              <w:bottom w:val="single" w:sz="4" w:space="0" w:color="auto"/>
              <w:right w:val="nil"/>
            </w:tcBorders>
            <w:shd w:val="clear" w:color="auto" w:fill="auto"/>
            <w:noWrap/>
            <w:vAlign w:val="bottom"/>
            <w:hideMark/>
          </w:tcPr>
          <w:p w14:paraId="0C443BB2" w14:textId="77777777" w:rsidR="00753B45" w:rsidRPr="00D02506" w:rsidRDefault="00753B45" w:rsidP="00AA7AEF">
            <w:pPr>
              <w:tabs>
                <w:tab w:val="clear" w:pos="7100"/>
              </w:tabs>
              <w:spacing w:line="240" w:lineRule="auto"/>
              <w:jc w:val="right"/>
              <w:rPr>
                <w:rFonts w:cs="Arial"/>
                <w:color w:val="000000"/>
                <w:szCs w:val="18"/>
                <w:lang w:val="es-PE" w:eastAsia="zh-CN"/>
              </w:rPr>
            </w:pPr>
            <w:r w:rsidRPr="00D02506">
              <w:rPr>
                <w:rFonts w:cs="Arial"/>
                <w:color w:val="000000"/>
                <w:szCs w:val="18"/>
                <w:lang w:val="es-PE" w:eastAsia="zh-CN"/>
              </w:rPr>
              <w:t>15</w:t>
            </w:r>
          </w:p>
        </w:tc>
        <w:tc>
          <w:tcPr>
            <w:tcW w:w="3240" w:type="dxa"/>
            <w:tcBorders>
              <w:top w:val="single" w:sz="4" w:space="0" w:color="auto"/>
              <w:left w:val="nil"/>
              <w:bottom w:val="single" w:sz="4" w:space="0" w:color="auto"/>
              <w:right w:val="nil"/>
            </w:tcBorders>
            <w:shd w:val="clear" w:color="auto" w:fill="auto"/>
            <w:noWrap/>
            <w:vAlign w:val="bottom"/>
            <w:hideMark/>
          </w:tcPr>
          <w:p w14:paraId="30B2E0D3" w14:textId="77777777" w:rsidR="00753B45" w:rsidRPr="00D02506" w:rsidRDefault="00753B45" w:rsidP="00AA7AEF">
            <w:pPr>
              <w:tabs>
                <w:tab w:val="clear" w:pos="7100"/>
              </w:tabs>
              <w:spacing w:line="240" w:lineRule="auto"/>
              <w:jc w:val="right"/>
              <w:rPr>
                <w:rFonts w:cs="Arial"/>
                <w:color w:val="000000"/>
                <w:szCs w:val="18"/>
                <w:lang w:val="es-PE" w:eastAsia="zh-CN"/>
              </w:rPr>
            </w:pPr>
            <w:r w:rsidRPr="00D02506">
              <w:rPr>
                <w:rFonts w:cs="Arial"/>
                <w:color w:val="000000"/>
                <w:szCs w:val="18"/>
                <w:lang w:val="es-PE" w:eastAsia="zh-CN"/>
              </w:rPr>
              <w:t>15</w:t>
            </w:r>
          </w:p>
        </w:tc>
      </w:tr>
    </w:tbl>
    <w:p w14:paraId="7DEC6255" w14:textId="77777777" w:rsidR="00753B45" w:rsidRPr="00F54EE1" w:rsidRDefault="00753B45" w:rsidP="00753B45">
      <w:pPr>
        <w:pStyle w:val="CETBodytext"/>
        <w:rPr>
          <w:rFonts w:cs="Arial"/>
          <w:szCs w:val="18"/>
          <w:lang w:val="en-GB"/>
        </w:rPr>
      </w:pPr>
    </w:p>
    <w:p w14:paraId="70855727" w14:textId="50BE0C91" w:rsidR="00753B45" w:rsidRPr="00F54EE1" w:rsidRDefault="002365C8" w:rsidP="00753B45">
      <w:pPr>
        <w:pStyle w:val="CETBodytext"/>
        <w:rPr>
          <w:rFonts w:cs="Arial"/>
          <w:szCs w:val="18"/>
          <w:lang w:val="en-GB"/>
        </w:rPr>
      </w:pPr>
      <w:r w:rsidRPr="00F54EE1">
        <w:rPr>
          <w:rFonts w:cs="Arial"/>
          <w:szCs w:val="18"/>
          <w:lang w:val="en-GB"/>
        </w:rPr>
        <w:t xml:space="preserve">After 45 days of daily consumption of a 35-gram cookie fortified with anchovy enzymatic hydrolysate, all 36-month-old children increased their </w:t>
      </w:r>
      <w:proofErr w:type="spellStart"/>
      <w:r w:rsidRPr="00F54EE1">
        <w:rPr>
          <w:rFonts w:cs="Arial"/>
          <w:szCs w:val="18"/>
          <w:lang w:val="en-GB"/>
        </w:rPr>
        <w:t>hemoglobin</w:t>
      </w:r>
      <w:proofErr w:type="spellEnd"/>
      <w:r w:rsidRPr="00F54EE1">
        <w:rPr>
          <w:rFonts w:cs="Arial"/>
          <w:szCs w:val="18"/>
          <w:lang w:val="en-GB"/>
        </w:rPr>
        <w:t xml:space="preserve"> level, as the cookie enriched with anchovy enzymatic hydrolysate </w:t>
      </w:r>
      <w:r w:rsidRPr="00F54EE1">
        <w:rPr>
          <w:rFonts w:cs="Arial"/>
          <w:szCs w:val="18"/>
          <w:lang w:val="en-GB"/>
        </w:rPr>
        <w:lastRenderedPageBreak/>
        <w:t xml:space="preserve">provided them with iron and amino acids from high Andean cereals such as </w:t>
      </w:r>
      <w:proofErr w:type="spellStart"/>
      <w:r w:rsidRPr="00F54EE1">
        <w:rPr>
          <w:rFonts w:cs="Arial"/>
          <w:szCs w:val="18"/>
          <w:lang w:val="en-GB"/>
        </w:rPr>
        <w:t>cañihua</w:t>
      </w:r>
      <w:proofErr w:type="spellEnd"/>
      <w:r w:rsidRPr="00F54EE1">
        <w:rPr>
          <w:rFonts w:cs="Arial"/>
          <w:szCs w:val="18"/>
          <w:lang w:val="en-GB"/>
        </w:rPr>
        <w:t xml:space="preserve">, </w:t>
      </w:r>
      <w:proofErr w:type="spellStart"/>
      <w:r w:rsidRPr="00F54EE1">
        <w:rPr>
          <w:rFonts w:cs="Arial"/>
          <w:szCs w:val="18"/>
          <w:lang w:val="en-GB"/>
        </w:rPr>
        <w:t>kiwicha</w:t>
      </w:r>
      <w:proofErr w:type="spellEnd"/>
      <w:r w:rsidRPr="00F54EE1">
        <w:rPr>
          <w:rFonts w:cs="Arial"/>
          <w:szCs w:val="18"/>
          <w:lang w:val="en-GB"/>
        </w:rPr>
        <w:t xml:space="preserve"> and quinoa and free amino acids from the enzymatic hydrolysate of anchovy fillets.</w:t>
      </w:r>
    </w:p>
    <w:p w14:paraId="466D722C" w14:textId="77777777" w:rsidR="00753B45" w:rsidRPr="00F54EE1" w:rsidRDefault="00753B45" w:rsidP="00753B45">
      <w:pPr>
        <w:pStyle w:val="CETHeading1"/>
        <w:rPr>
          <w:rFonts w:cs="Arial"/>
          <w:sz w:val="18"/>
          <w:szCs w:val="18"/>
          <w:lang w:val="en-GB"/>
        </w:rPr>
      </w:pPr>
      <w:r w:rsidRPr="00F54EE1">
        <w:rPr>
          <w:rFonts w:cs="Arial"/>
          <w:sz w:val="18"/>
          <w:szCs w:val="18"/>
        </w:rPr>
        <w:t>Conclusions</w:t>
      </w:r>
    </w:p>
    <w:p w14:paraId="6FC1D753" w14:textId="3867678D" w:rsidR="00753B45" w:rsidRPr="00F54EE1" w:rsidRDefault="002365C8" w:rsidP="00753B45">
      <w:pPr>
        <w:pStyle w:val="CETBodytext"/>
        <w:rPr>
          <w:rFonts w:cs="Arial"/>
          <w:szCs w:val="18"/>
          <w:lang w:val="en-GB"/>
        </w:rPr>
      </w:pPr>
      <w:r w:rsidRPr="00F54EE1">
        <w:rPr>
          <w:rFonts w:cs="Arial"/>
          <w:szCs w:val="18"/>
          <w:lang w:val="en-GB"/>
        </w:rPr>
        <w:t xml:space="preserve">One of the problems with the consumption of the cookie is the strong aroma given off by fish considered blue, such as anchovy, bonito, tuna and others, due to fatty acids such as omega 3. These fish have more fat than the so-called white fish, as they prefer cold waters, but these </w:t>
      </w:r>
      <w:proofErr w:type="spellStart"/>
      <w:r w:rsidRPr="00F54EE1">
        <w:rPr>
          <w:rFonts w:cs="Arial"/>
          <w:szCs w:val="18"/>
          <w:lang w:val="en-GB"/>
        </w:rPr>
        <w:t>fats</w:t>
      </w:r>
      <w:proofErr w:type="spellEnd"/>
      <w:r w:rsidRPr="00F54EE1">
        <w:rPr>
          <w:rFonts w:cs="Arial"/>
          <w:szCs w:val="18"/>
          <w:lang w:val="en-GB"/>
        </w:rPr>
        <w:t xml:space="preserve"> are healthy to the extent that they are predominantly unsaturated, that is, heart-healthy, since they have a large contribution of fatty acids, including the highly prized omega 3 that has the power to reduce cholesterol and triglycerides in the blood. Enzymatic hydrolysate of fish provides high-quality proteins, since it contains all the essential amino acids, especially lysine, essential for the growth of children and tryptophan, which helps regulate serotonin levels in the brain, therefore, calming and promoting sleep.</w:t>
      </w:r>
    </w:p>
    <w:p w14:paraId="7A6E8715" w14:textId="77777777" w:rsidR="00753B45" w:rsidRPr="00F54EE1" w:rsidRDefault="00753B45" w:rsidP="00753B45">
      <w:pPr>
        <w:pStyle w:val="CETBodytext"/>
        <w:rPr>
          <w:rFonts w:cs="Arial"/>
          <w:szCs w:val="18"/>
          <w:lang w:val="en-GB"/>
        </w:rPr>
      </w:pPr>
    </w:p>
    <w:p w14:paraId="7D411B40" w14:textId="09A15EA7" w:rsidR="00753B45" w:rsidRPr="00F54EE1" w:rsidRDefault="002365C8" w:rsidP="00753B45">
      <w:pPr>
        <w:pStyle w:val="CETBodytext"/>
        <w:rPr>
          <w:rFonts w:cs="Arial"/>
          <w:szCs w:val="18"/>
          <w:lang w:val="en-GB"/>
        </w:rPr>
      </w:pPr>
      <w:r w:rsidRPr="00F54EE1">
        <w:rPr>
          <w:rFonts w:cs="Arial"/>
          <w:szCs w:val="18"/>
          <w:lang w:val="en-GB"/>
        </w:rPr>
        <w:t>The acceptability test of the biscuit determined that the maximum content of enzymatic fish hydrolysate in the biscuit was 8%, so that children would consume the biscuit without being rejected by the strong smell and taste of blue fish. The biscuit was also validated in other settings such as school fairs and craft fairs in different locations in Peru and practice advises that between 5 and 6% of the enzymatic fish hydrolysate ensures the consumption of the biscuit, as some people have more developed taste buds and are more sensitive to the characteristics of the aroma of fish.</w:t>
      </w:r>
    </w:p>
    <w:p w14:paraId="45BF525F" w14:textId="77777777" w:rsidR="00753B45" w:rsidRPr="00F54EE1" w:rsidRDefault="00753B45" w:rsidP="00753B45">
      <w:pPr>
        <w:pStyle w:val="CETBodytext"/>
        <w:rPr>
          <w:rFonts w:cs="Arial"/>
          <w:szCs w:val="18"/>
          <w:lang w:val="en-GB"/>
        </w:rPr>
      </w:pPr>
    </w:p>
    <w:p w14:paraId="57C7E48C" w14:textId="658A51A3" w:rsidR="00753B45" w:rsidRPr="00F54EE1" w:rsidRDefault="0088410E" w:rsidP="00753B45">
      <w:pPr>
        <w:pStyle w:val="CETBodytext"/>
        <w:rPr>
          <w:rFonts w:cs="Arial"/>
          <w:szCs w:val="18"/>
          <w:lang w:val="en-GB"/>
        </w:rPr>
      </w:pPr>
      <w:r w:rsidRPr="00F54EE1">
        <w:rPr>
          <w:rFonts w:cs="Arial"/>
          <w:szCs w:val="18"/>
          <w:lang w:val="en-GB"/>
        </w:rPr>
        <w:t xml:space="preserve">The daily consumption of a 35-gram cookie allows children to increase their </w:t>
      </w:r>
      <w:proofErr w:type="spellStart"/>
      <w:r w:rsidRPr="00F54EE1">
        <w:rPr>
          <w:rFonts w:cs="Arial"/>
          <w:szCs w:val="18"/>
          <w:lang w:val="en-GB"/>
        </w:rPr>
        <w:t>hemoglobin</w:t>
      </w:r>
      <w:proofErr w:type="spellEnd"/>
      <w:r w:rsidRPr="00F54EE1">
        <w:rPr>
          <w:rFonts w:cs="Arial"/>
          <w:szCs w:val="18"/>
          <w:lang w:val="en-GB"/>
        </w:rPr>
        <w:t xml:space="preserve"> levels, but it is necessary to carry out workshops and training with parents, teachers, local and regional authorities and students, on healthy eating habits and food education.</w:t>
      </w:r>
      <w:r w:rsidR="00753B45" w:rsidRPr="00F54EE1">
        <w:rPr>
          <w:rFonts w:cs="Arial"/>
          <w:szCs w:val="18"/>
          <w:lang w:val="en-GB"/>
        </w:rPr>
        <w:t xml:space="preserve">, </w:t>
      </w:r>
    </w:p>
    <w:p w14:paraId="2A97A720" w14:textId="77777777" w:rsidR="00753B45" w:rsidRPr="00F54EE1" w:rsidRDefault="00753B45" w:rsidP="00753B45">
      <w:pPr>
        <w:pStyle w:val="CETBodytext"/>
        <w:rPr>
          <w:rFonts w:cs="Arial"/>
          <w:szCs w:val="18"/>
          <w:lang w:val="en-GB"/>
        </w:rPr>
      </w:pPr>
    </w:p>
    <w:p w14:paraId="16F34F6B" w14:textId="77777777" w:rsidR="00753B45" w:rsidRPr="00F54EE1" w:rsidRDefault="00753B45" w:rsidP="00753B45">
      <w:pPr>
        <w:pStyle w:val="CETReference"/>
        <w:rPr>
          <w:rFonts w:cs="Arial"/>
          <w:szCs w:val="18"/>
        </w:rPr>
      </w:pPr>
      <w:r w:rsidRPr="00F54EE1">
        <w:rPr>
          <w:rFonts w:cs="Arial"/>
          <w:szCs w:val="18"/>
        </w:rPr>
        <w:t>References</w:t>
      </w:r>
    </w:p>
    <w:p w14:paraId="16D9BB27" w14:textId="77777777" w:rsidR="00C81BA9" w:rsidRPr="007B3BF3" w:rsidRDefault="00C81BA9" w:rsidP="00C81BA9">
      <w:pPr>
        <w:spacing w:line="240" w:lineRule="auto"/>
        <w:ind w:left="426" w:hanging="426"/>
        <w:jc w:val="left"/>
        <w:rPr>
          <w:szCs w:val="18"/>
        </w:rPr>
      </w:pPr>
      <w:r w:rsidRPr="007B3BF3">
        <w:rPr>
          <w:szCs w:val="18"/>
        </w:rPr>
        <w:t>Bender A., 2006, Dictionary of nutrition and food technology &lt;</w:t>
      </w:r>
      <w:hyperlink r:id="rId14">
        <w:r w:rsidRPr="007B3BF3">
          <w:rPr>
            <w:color w:val="000000"/>
            <w:szCs w:val="18"/>
          </w:rPr>
          <w:t>sciencedirect.com/book/9781845690519/benders-dictionary-of-nutrition-and-food-technology</w:t>
        </w:r>
      </w:hyperlink>
      <w:r w:rsidRPr="007B3BF3">
        <w:rPr>
          <w:szCs w:val="18"/>
        </w:rPr>
        <w:t>&gt; accessed 12.02.2022.</w:t>
      </w:r>
    </w:p>
    <w:p w14:paraId="39ED74A6" w14:textId="77777777" w:rsidR="00C81BA9" w:rsidRPr="007B3BF3" w:rsidRDefault="00C81BA9" w:rsidP="00C81BA9">
      <w:pPr>
        <w:spacing w:line="240" w:lineRule="auto"/>
        <w:ind w:left="426" w:hanging="426"/>
        <w:jc w:val="left"/>
        <w:rPr>
          <w:szCs w:val="18"/>
          <w:lang w:val="es-PE"/>
        </w:rPr>
      </w:pPr>
      <w:r w:rsidRPr="007B3BF3">
        <w:rPr>
          <w:szCs w:val="18"/>
          <w:lang w:val="es-PE"/>
        </w:rPr>
        <w:t>Contreras L., 2015, Desarrollo de una galleta dulce enriquecida con harina de quinua blanca (</w:t>
      </w:r>
      <w:proofErr w:type="spellStart"/>
      <w:r w:rsidRPr="007B3BF3">
        <w:rPr>
          <w:szCs w:val="18"/>
          <w:lang w:val="es-PE"/>
        </w:rPr>
        <w:t>Chenopodium</w:t>
      </w:r>
      <w:proofErr w:type="spellEnd"/>
      <w:r w:rsidRPr="007B3BF3">
        <w:rPr>
          <w:szCs w:val="18"/>
          <w:lang w:val="es-PE"/>
        </w:rPr>
        <w:t xml:space="preserve"> quinoa) utilizando diseño de mezclas  </w:t>
      </w:r>
      <w:hyperlink r:id="rId15">
        <w:r w:rsidRPr="007B3BF3">
          <w:rPr>
            <w:color w:val="000000"/>
            <w:szCs w:val="18"/>
            <w:lang w:val="es-PE"/>
          </w:rPr>
          <w:t>&lt;repositorio.lamolina.edu.pe/</w:t>
        </w:r>
        <w:proofErr w:type="spellStart"/>
        <w:r w:rsidRPr="007B3BF3">
          <w:rPr>
            <w:color w:val="000000"/>
            <w:szCs w:val="18"/>
            <w:lang w:val="es-PE"/>
          </w:rPr>
          <w:t>handle</w:t>
        </w:r>
        <w:proofErr w:type="spellEnd"/>
        <w:r w:rsidRPr="007B3BF3">
          <w:rPr>
            <w:color w:val="000000"/>
            <w:szCs w:val="18"/>
            <w:lang w:val="es-PE"/>
          </w:rPr>
          <w:t>/20.500.12996/1928</w:t>
        </w:r>
      </w:hyperlink>
      <w:r w:rsidRPr="007B3BF3">
        <w:rPr>
          <w:color w:val="000000"/>
          <w:szCs w:val="18"/>
          <w:lang w:val="es-PE"/>
        </w:rPr>
        <w:t xml:space="preserve">&gt; </w:t>
      </w:r>
      <w:proofErr w:type="spellStart"/>
      <w:r w:rsidRPr="007B3BF3">
        <w:rPr>
          <w:color w:val="000000"/>
          <w:szCs w:val="18"/>
          <w:lang w:val="es-PE"/>
        </w:rPr>
        <w:t>accessed</w:t>
      </w:r>
      <w:proofErr w:type="spellEnd"/>
      <w:r w:rsidRPr="007B3BF3">
        <w:rPr>
          <w:color w:val="000000"/>
          <w:szCs w:val="18"/>
          <w:lang w:val="es-PE"/>
        </w:rPr>
        <w:t xml:space="preserve"> 23.02.2022.</w:t>
      </w:r>
    </w:p>
    <w:p w14:paraId="65A0E7F5" w14:textId="77777777" w:rsidR="00C81BA9" w:rsidRPr="007B3BF3" w:rsidRDefault="00C81BA9" w:rsidP="00C81BA9">
      <w:pPr>
        <w:spacing w:line="240" w:lineRule="auto"/>
        <w:ind w:left="426" w:hanging="426"/>
        <w:jc w:val="left"/>
        <w:rPr>
          <w:szCs w:val="18"/>
        </w:rPr>
      </w:pPr>
      <w:r w:rsidRPr="007B3BF3">
        <w:rPr>
          <w:szCs w:val="18"/>
        </w:rPr>
        <w:t xml:space="preserve">He S., Franco S., Zhang W., 2013, Functions, applications and production of protein hydrolysates from fish processing co-products (FPCP), Food Research International, 50, 289-297. </w:t>
      </w:r>
    </w:p>
    <w:p w14:paraId="68EF922B" w14:textId="77777777" w:rsidR="00C81BA9" w:rsidRPr="007B3BF3" w:rsidRDefault="00C81BA9" w:rsidP="00C81BA9">
      <w:pPr>
        <w:spacing w:line="240" w:lineRule="auto"/>
        <w:ind w:left="426" w:hanging="426"/>
        <w:jc w:val="left"/>
        <w:rPr>
          <w:szCs w:val="18"/>
          <w:lang w:val="es-PE"/>
        </w:rPr>
      </w:pPr>
      <w:proofErr w:type="spellStart"/>
      <w:r w:rsidRPr="007B3BF3">
        <w:rPr>
          <w:szCs w:val="18"/>
          <w:lang w:val="es-PE"/>
        </w:rPr>
        <w:t>Hleap</w:t>
      </w:r>
      <w:proofErr w:type="spellEnd"/>
      <w:r w:rsidRPr="007B3BF3">
        <w:rPr>
          <w:szCs w:val="18"/>
          <w:lang w:val="es-PE"/>
        </w:rPr>
        <w:t xml:space="preserve"> J., Gutiérrez C, 2017, Hidrolizados de pescado – producción, beneficios y nuevos avances en la industria: una revisión, Acta Agronómica,</w:t>
      </w:r>
      <w:r w:rsidRPr="007B3BF3">
        <w:rPr>
          <w:i/>
          <w:szCs w:val="18"/>
          <w:lang w:val="es-PE"/>
        </w:rPr>
        <w:t xml:space="preserve"> </w:t>
      </w:r>
      <w:r w:rsidRPr="007B3BF3">
        <w:rPr>
          <w:szCs w:val="18"/>
          <w:lang w:val="es-PE"/>
        </w:rPr>
        <w:t xml:space="preserve">66, 311-322.  </w:t>
      </w:r>
    </w:p>
    <w:p w14:paraId="49C7789A" w14:textId="39A1C5E5" w:rsidR="00C81BA9" w:rsidRPr="007B3BF3" w:rsidRDefault="00C81BA9" w:rsidP="00C81BA9">
      <w:pPr>
        <w:spacing w:line="240" w:lineRule="auto"/>
        <w:ind w:left="426" w:hanging="426"/>
        <w:jc w:val="left"/>
        <w:rPr>
          <w:szCs w:val="18"/>
        </w:rPr>
      </w:pPr>
      <w:r w:rsidRPr="007B3BF3">
        <w:rPr>
          <w:szCs w:val="18"/>
        </w:rPr>
        <w:t>ICMSF, 1983, Microorganisms in Foods, International Commission on Microbiological Specifications for Foods &lt;icmsf.org/publications/books/&gt; accessed 19.02.2022</w:t>
      </w:r>
      <w:r w:rsidR="00501387">
        <w:rPr>
          <w:szCs w:val="18"/>
        </w:rPr>
        <w:t>.</w:t>
      </w:r>
    </w:p>
    <w:p w14:paraId="046A84E4" w14:textId="77777777" w:rsidR="00C81BA9" w:rsidRPr="007B3BF3" w:rsidRDefault="00C81BA9" w:rsidP="00C81BA9">
      <w:pPr>
        <w:spacing w:line="240" w:lineRule="auto"/>
        <w:ind w:left="426" w:hanging="426"/>
        <w:jc w:val="left"/>
        <w:rPr>
          <w:szCs w:val="18"/>
          <w:lang w:val="es-PE"/>
        </w:rPr>
      </w:pPr>
      <w:r w:rsidRPr="007B3BF3">
        <w:rPr>
          <w:szCs w:val="18"/>
          <w:lang w:val="es-PE"/>
        </w:rPr>
        <w:t>INDECOPI, 2016,</w:t>
      </w:r>
      <w:r w:rsidRPr="007B3BF3">
        <w:rPr>
          <w:i/>
          <w:szCs w:val="18"/>
          <w:lang w:val="es-PE"/>
        </w:rPr>
        <w:t xml:space="preserve"> </w:t>
      </w:r>
      <w:r w:rsidRPr="007B3BF3">
        <w:rPr>
          <w:szCs w:val="18"/>
          <w:lang w:val="es-PE"/>
        </w:rPr>
        <w:t xml:space="preserve">Panadería, pastelería y galletería, Instituto Nacional de Defensa de la Competencia y de la Protección de la Propiedad Intelectual &lt;gob.pe/13452-acceder-al-catalogo-virtual-de-normas-tecnicas-peruanas-y-textos-afines&gt; </w:t>
      </w:r>
      <w:proofErr w:type="spellStart"/>
      <w:r w:rsidRPr="007B3BF3">
        <w:rPr>
          <w:szCs w:val="18"/>
          <w:lang w:val="es-PE"/>
        </w:rPr>
        <w:t>accessed</w:t>
      </w:r>
      <w:proofErr w:type="spellEnd"/>
      <w:r w:rsidRPr="007B3BF3">
        <w:rPr>
          <w:szCs w:val="18"/>
          <w:lang w:val="es-PE"/>
        </w:rPr>
        <w:t xml:space="preserve"> 26.02.2022.</w:t>
      </w:r>
    </w:p>
    <w:p w14:paraId="0578C33F" w14:textId="77777777" w:rsidR="00C81BA9" w:rsidRPr="007B3BF3" w:rsidRDefault="00C81BA9" w:rsidP="00C81BA9">
      <w:pPr>
        <w:spacing w:line="240" w:lineRule="auto"/>
        <w:ind w:left="426" w:hanging="426"/>
        <w:jc w:val="left"/>
        <w:rPr>
          <w:szCs w:val="18"/>
          <w:lang w:val="es-PE"/>
        </w:rPr>
      </w:pPr>
      <w:r w:rsidRPr="007B3BF3">
        <w:rPr>
          <w:szCs w:val="18"/>
          <w:lang w:val="es-PE"/>
        </w:rPr>
        <w:t>INDECOPI, 2018,</w:t>
      </w:r>
      <w:r w:rsidRPr="007B3BF3">
        <w:rPr>
          <w:i/>
          <w:szCs w:val="18"/>
          <w:lang w:val="es-PE"/>
        </w:rPr>
        <w:t xml:space="preserve"> </w:t>
      </w:r>
      <w:r w:rsidRPr="007B3BF3">
        <w:rPr>
          <w:szCs w:val="18"/>
          <w:lang w:val="es-PE"/>
        </w:rPr>
        <w:t xml:space="preserve">Bizcochos, galletas y pastas o fideos, Instituto Nacional de Defensa de la Competencia y de la Protección de la Propiedad Intelectual &lt;gob.pe/13452-acceder-al-catalogo-virtual-de-normas-tecnicas-peruanas-y-textos-afines&gt; </w:t>
      </w:r>
      <w:proofErr w:type="spellStart"/>
      <w:r w:rsidRPr="007B3BF3">
        <w:rPr>
          <w:szCs w:val="18"/>
          <w:lang w:val="es-PE"/>
        </w:rPr>
        <w:t>accessed</w:t>
      </w:r>
      <w:proofErr w:type="spellEnd"/>
      <w:r w:rsidRPr="007B3BF3">
        <w:rPr>
          <w:szCs w:val="18"/>
          <w:lang w:val="es-PE"/>
        </w:rPr>
        <w:t xml:space="preserve"> 19.02.2022.</w:t>
      </w:r>
    </w:p>
    <w:p w14:paraId="04E70602" w14:textId="77777777" w:rsidR="00C81BA9" w:rsidRPr="007B3BF3" w:rsidRDefault="00C81BA9" w:rsidP="00C81BA9">
      <w:pPr>
        <w:spacing w:line="240" w:lineRule="auto"/>
        <w:ind w:left="426" w:hanging="426"/>
        <w:jc w:val="left"/>
        <w:rPr>
          <w:szCs w:val="18"/>
          <w:lang w:val="es-PE"/>
        </w:rPr>
      </w:pPr>
      <w:r w:rsidRPr="007B3BF3">
        <w:rPr>
          <w:szCs w:val="18"/>
          <w:lang w:val="es-PE"/>
        </w:rPr>
        <w:t xml:space="preserve">IMARPE, 1996, Compendio Biológico Tecnológico, Instituto del Mar Peruano &lt;repositorio/imarpe.gob.pe&gt; </w:t>
      </w:r>
      <w:proofErr w:type="spellStart"/>
      <w:r w:rsidRPr="007B3BF3">
        <w:rPr>
          <w:szCs w:val="18"/>
          <w:lang w:val="es-PE"/>
        </w:rPr>
        <w:t>accessed</w:t>
      </w:r>
      <w:proofErr w:type="spellEnd"/>
      <w:r w:rsidRPr="007B3BF3">
        <w:rPr>
          <w:szCs w:val="18"/>
          <w:lang w:val="es-PE"/>
        </w:rPr>
        <w:t xml:space="preserve"> 25.02.2022.</w:t>
      </w:r>
    </w:p>
    <w:p w14:paraId="2DDE1E18" w14:textId="77777777" w:rsidR="00C81BA9" w:rsidRPr="007B3BF3" w:rsidRDefault="00C81BA9" w:rsidP="00C81BA9">
      <w:pPr>
        <w:spacing w:line="240" w:lineRule="auto"/>
        <w:ind w:left="426" w:hanging="426"/>
        <w:jc w:val="left"/>
        <w:rPr>
          <w:szCs w:val="18"/>
          <w:lang w:val="es-PE"/>
        </w:rPr>
      </w:pPr>
      <w:r w:rsidRPr="007B3BF3">
        <w:rPr>
          <w:szCs w:val="18"/>
          <w:lang w:val="es-PE"/>
        </w:rPr>
        <w:t xml:space="preserve">INEI, 2020, Encuesta Demográfica y de Salud Familiar, Instituto Nacional de Estadística e Informática &lt;inei.gob.pe/media/MenuRecursivo/publicaciones_digitales/Est/Endes2019/&gt; </w:t>
      </w:r>
      <w:proofErr w:type="spellStart"/>
      <w:r w:rsidRPr="007B3BF3">
        <w:rPr>
          <w:szCs w:val="18"/>
          <w:lang w:val="es-PE"/>
        </w:rPr>
        <w:t>accessed</w:t>
      </w:r>
      <w:proofErr w:type="spellEnd"/>
      <w:r w:rsidRPr="007B3BF3">
        <w:rPr>
          <w:szCs w:val="18"/>
          <w:lang w:val="es-PE"/>
        </w:rPr>
        <w:t xml:space="preserve"> 29.01.2022.</w:t>
      </w:r>
    </w:p>
    <w:p w14:paraId="3D354E5E" w14:textId="77777777" w:rsidR="00C81BA9" w:rsidRPr="007B3BF3" w:rsidRDefault="00C81BA9" w:rsidP="00C81BA9">
      <w:pPr>
        <w:spacing w:line="240" w:lineRule="auto"/>
        <w:ind w:left="426" w:hanging="426"/>
        <w:jc w:val="left"/>
        <w:rPr>
          <w:szCs w:val="18"/>
        </w:rPr>
      </w:pPr>
      <w:proofErr w:type="spellStart"/>
      <w:r w:rsidRPr="007B3BF3">
        <w:rPr>
          <w:szCs w:val="18"/>
        </w:rPr>
        <w:t>Khantaphant</w:t>
      </w:r>
      <w:proofErr w:type="spellEnd"/>
      <w:r w:rsidRPr="007B3BF3">
        <w:rPr>
          <w:szCs w:val="18"/>
        </w:rPr>
        <w:t xml:space="preserve"> S., </w:t>
      </w:r>
      <w:proofErr w:type="spellStart"/>
      <w:r w:rsidRPr="007B3BF3">
        <w:rPr>
          <w:szCs w:val="18"/>
        </w:rPr>
        <w:t>Benjakul</w:t>
      </w:r>
      <w:proofErr w:type="spellEnd"/>
      <w:r w:rsidRPr="007B3BF3">
        <w:rPr>
          <w:szCs w:val="18"/>
        </w:rPr>
        <w:t xml:space="preserve"> S., </w:t>
      </w:r>
      <w:proofErr w:type="spellStart"/>
      <w:r w:rsidRPr="007B3BF3">
        <w:rPr>
          <w:szCs w:val="18"/>
        </w:rPr>
        <w:t>Ghomi</w:t>
      </w:r>
      <w:proofErr w:type="spellEnd"/>
      <w:r w:rsidRPr="007B3BF3">
        <w:rPr>
          <w:szCs w:val="18"/>
        </w:rPr>
        <w:t xml:space="preserve">, M., 2011, The effects of pretreatments on antioxidative activities of protein hydrolysate from the muscle of </w:t>
      </w:r>
      <w:proofErr w:type="spellStart"/>
      <w:r w:rsidRPr="007B3BF3">
        <w:rPr>
          <w:szCs w:val="18"/>
        </w:rPr>
        <w:t>brownstripe</w:t>
      </w:r>
      <w:proofErr w:type="spellEnd"/>
      <w:r w:rsidRPr="007B3BF3">
        <w:rPr>
          <w:szCs w:val="18"/>
        </w:rPr>
        <w:t xml:space="preserve"> red snapper (Lutjanus vitta), Food Science Technology, 44, 1139 – 1148.</w:t>
      </w:r>
    </w:p>
    <w:p w14:paraId="410C4936" w14:textId="77777777" w:rsidR="00C81BA9" w:rsidRPr="007B3BF3" w:rsidRDefault="00C81BA9" w:rsidP="00C81BA9">
      <w:pPr>
        <w:spacing w:line="240" w:lineRule="auto"/>
        <w:ind w:left="426" w:hanging="426"/>
        <w:jc w:val="left"/>
        <w:rPr>
          <w:color w:val="000000"/>
          <w:szCs w:val="18"/>
        </w:rPr>
      </w:pPr>
      <w:r w:rsidRPr="007B3BF3">
        <w:rPr>
          <w:szCs w:val="18"/>
        </w:rPr>
        <w:t xml:space="preserve">Meena, K., Tayal, D., Gupta, V., Fatima, A., 2019, Using classification techniques for statistical analysis of </w:t>
      </w:r>
      <w:proofErr w:type="spellStart"/>
      <w:r w:rsidRPr="007B3BF3">
        <w:rPr>
          <w:szCs w:val="18"/>
        </w:rPr>
        <w:t>Anemia</w:t>
      </w:r>
      <w:proofErr w:type="spellEnd"/>
      <w:r w:rsidRPr="007B3BF3">
        <w:rPr>
          <w:szCs w:val="18"/>
        </w:rPr>
        <w:t xml:space="preserve">, Artificial Intelligence in Medicine, 94, 138–152. </w:t>
      </w:r>
    </w:p>
    <w:p w14:paraId="0F616706" w14:textId="77777777" w:rsidR="00C81BA9" w:rsidRPr="007B3BF3" w:rsidRDefault="00C81BA9" w:rsidP="00C81BA9">
      <w:pPr>
        <w:spacing w:line="240" w:lineRule="auto"/>
        <w:ind w:left="426" w:hanging="426"/>
        <w:jc w:val="left"/>
        <w:rPr>
          <w:color w:val="000000"/>
          <w:szCs w:val="18"/>
        </w:rPr>
      </w:pPr>
      <w:r w:rsidRPr="007B3BF3">
        <w:rPr>
          <w:szCs w:val="18"/>
        </w:rPr>
        <w:t xml:space="preserve">Mengistu, G., </w:t>
      </w:r>
      <w:proofErr w:type="spellStart"/>
      <w:r w:rsidRPr="007B3BF3">
        <w:rPr>
          <w:szCs w:val="18"/>
        </w:rPr>
        <w:t>Azage</w:t>
      </w:r>
      <w:proofErr w:type="spellEnd"/>
      <w:r w:rsidRPr="007B3BF3">
        <w:rPr>
          <w:szCs w:val="18"/>
        </w:rPr>
        <w:t xml:space="preserve">, M., Gutema, H., 2019, Iron deficiency </w:t>
      </w:r>
      <w:proofErr w:type="spellStart"/>
      <w:r w:rsidRPr="007B3BF3">
        <w:rPr>
          <w:szCs w:val="18"/>
        </w:rPr>
        <w:t>anemia</w:t>
      </w:r>
      <w:proofErr w:type="spellEnd"/>
      <w:r w:rsidRPr="007B3BF3">
        <w:rPr>
          <w:szCs w:val="18"/>
        </w:rPr>
        <w:t xml:space="preserve"> among in-school adolescent girls in rural area of Bahir Dar City Administration, North West Ethiopia, </w:t>
      </w:r>
      <w:proofErr w:type="spellStart"/>
      <w:r w:rsidRPr="007B3BF3">
        <w:rPr>
          <w:szCs w:val="18"/>
        </w:rPr>
        <w:t>Anemia</w:t>
      </w:r>
      <w:proofErr w:type="spellEnd"/>
      <w:r w:rsidRPr="007B3BF3">
        <w:rPr>
          <w:szCs w:val="18"/>
        </w:rPr>
        <w:t xml:space="preserve">, 12,1–8. </w:t>
      </w:r>
    </w:p>
    <w:p w14:paraId="26BA12D2" w14:textId="77777777" w:rsidR="00C81BA9" w:rsidRPr="007B3BF3" w:rsidRDefault="00C81BA9" w:rsidP="00C81BA9">
      <w:pPr>
        <w:spacing w:line="240" w:lineRule="auto"/>
        <w:ind w:left="426" w:hanging="426"/>
        <w:jc w:val="left"/>
        <w:rPr>
          <w:color w:val="000000"/>
          <w:szCs w:val="18"/>
          <w:lang w:val="es-PE"/>
        </w:rPr>
      </w:pPr>
      <w:r w:rsidRPr="007B3BF3">
        <w:rPr>
          <w:szCs w:val="18"/>
          <w:lang w:val="es-PE"/>
        </w:rPr>
        <w:t>MINSA, 2008, Norma Sanitaria que establece los criterios microbiológicos de Calidad Sanitaria e Inocuidad para los alimentos y bebidas de consumo humano, Ministerio de Salud &lt;</w:t>
      </w:r>
      <w:hyperlink r:id="rId16">
        <w:r w:rsidRPr="007B3BF3">
          <w:rPr>
            <w:color w:val="000000"/>
            <w:szCs w:val="18"/>
            <w:lang w:val="es-PE"/>
          </w:rPr>
          <w:t>minsa.gob.pe/</w:t>
        </w:r>
        <w:proofErr w:type="spellStart"/>
        <w:r w:rsidRPr="007B3BF3">
          <w:rPr>
            <w:color w:val="000000"/>
            <w:szCs w:val="18"/>
            <w:lang w:val="es-PE"/>
          </w:rPr>
          <w:t>norma_consulta</w:t>
        </w:r>
        <w:proofErr w:type="spellEnd"/>
        <w:r w:rsidRPr="007B3BF3">
          <w:rPr>
            <w:color w:val="000000"/>
            <w:szCs w:val="18"/>
            <w:lang w:val="es-PE"/>
          </w:rPr>
          <w:t>/Proy_RM615-2003.pdf</w:t>
        </w:r>
      </w:hyperlink>
      <w:r w:rsidRPr="007B3BF3">
        <w:rPr>
          <w:color w:val="000000"/>
          <w:szCs w:val="18"/>
          <w:lang w:val="es-PE"/>
        </w:rPr>
        <w:t xml:space="preserve">&gt; </w:t>
      </w:r>
      <w:proofErr w:type="spellStart"/>
      <w:r w:rsidRPr="007B3BF3">
        <w:rPr>
          <w:color w:val="000000"/>
          <w:szCs w:val="18"/>
          <w:lang w:val="es-PE"/>
        </w:rPr>
        <w:t>accessed</w:t>
      </w:r>
      <w:proofErr w:type="spellEnd"/>
      <w:r w:rsidRPr="007B3BF3">
        <w:rPr>
          <w:color w:val="000000"/>
          <w:szCs w:val="18"/>
          <w:lang w:val="es-PE"/>
        </w:rPr>
        <w:t xml:space="preserve"> 08.02.2022.</w:t>
      </w:r>
    </w:p>
    <w:p w14:paraId="4B70BA43" w14:textId="77777777" w:rsidR="00C81BA9" w:rsidRPr="007B3BF3" w:rsidRDefault="00C81BA9" w:rsidP="00C81BA9">
      <w:pPr>
        <w:spacing w:line="240" w:lineRule="auto"/>
        <w:ind w:left="426" w:hanging="426"/>
        <w:jc w:val="left"/>
        <w:rPr>
          <w:color w:val="000000"/>
          <w:szCs w:val="18"/>
          <w:lang w:val="es-PE"/>
        </w:rPr>
      </w:pPr>
      <w:r w:rsidRPr="007B3BF3">
        <w:rPr>
          <w:szCs w:val="18"/>
          <w:lang w:val="es-PE"/>
        </w:rPr>
        <w:t xml:space="preserve">MINSA, 2011, Norma Sanitaria para la Fabricación, Elaboración y Expendio de Productos de Panificación, Galletería y Pastelería, Ministerio de Salud </w:t>
      </w:r>
      <w:r w:rsidRPr="007B3BF3">
        <w:rPr>
          <w:szCs w:val="18"/>
          <w:lang w:val="es-PE"/>
        </w:rPr>
        <w:lastRenderedPageBreak/>
        <w:t>&lt;</w:t>
      </w:r>
      <w:hyperlink r:id="rId17">
        <w:r w:rsidRPr="007B3BF3">
          <w:rPr>
            <w:color w:val="000000"/>
            <w:szCs w:val="18"/>
            <w:lang w:val="es-PE"/>
          </w:rPr>
          <w:t>http://www.digesa.minsa.gob.pe/orientacion/NORMA%20DE%20PANADERIAS.pdf</w:t>
        </w:r>
      </w:hyperlink>
      <w:r w:rsidRPr="007B3BF3">
        <w:rPr>
          <w:color w:val="000000"/>
          <w:szCs w:val="18"/>
          <w:lang w:val="es-PE"/>
        </w:rPr>
        <w:t xml:space="preserve">&gt; </w:t>
      </w:r>
      <w:proofErr w:type="spellStart"/>
      <w:r w:rsidRPr="007B3BF3">
        <w:rPr>
          <w:color w:val="000000"/>
          <w:szCs w:val="18"/>
          <w:lang w:val="es-PE"/>
        </w:rPr>
        <w:t>accessed</w:t>
      </w:r>
      <w:proofErr w:type="spellEnd"/>
      <w:r w:rsidRPr="007B3BF3">
        <w:rPr>
          <w:color w:val="000000"/>
          <w:szCs w:val="18"/>
          <w:lang w:val="es-PE"/>
        </w:rPr>
        <w:t xml:space="preserve"> 02.03.2022.</w:t>
      </w:r>
    </w:p>
    <w:p w14:paraId="3EA66A1E" w14:textId="77777777" w:rsidR="00C81BA9" w:rsidRPr="007B3BF3" w:rsidRDefault="00C81BA9" w:rsidP="00C81BA9">
      <w:pPr>
        <w:spacing w:line="240" w:lineRule="auto"/>
        <w:ind w:left="426" w:hanging="426"/>
        <w:jc w:val="left"/>
        <w:rPr>
          <w:color w:val="000000"/>
          <w:szCs w:val="18"/>
        </w:rPr>
      </w:pPr>
      <w:proofErr w:type="spellStart"/>
      <w:r w:rsidRPr="007B3BF3">
        <w:rPr>
          <w:szCs w:val="18"/>
        </w:rPr>
        <w:t>Odunlade</w:t>
      </w:r>
      <w:proofErr w:type="spellEnd"/>
      <w:r w:rsidRPr="007B3BF3">
        <w:rPr>
          <w:szCs w:val="18"/>
        </w:rPr>
        <w:t>, O., Ad</w:t>
      </w:r>
      <w:proofErr w:type="spellStart"/>
      <w:r w:rsidRPr="007B3BF3">
        <w:rPr>
          <w:szCs w:val="18"/>
        </w:rPr>
        <w:t>eodu</w:t>
      </w:r>
      <w:proofErr w:type="spellEnd"/>
      <w:r w:rsidRPr="007B3BF3">
        <w:rPr>
          <w:szCs w:val="18"/>
        </w:rPr>
        <w:t xml:space="preserve">, O., Owa, J., </w:t>
      </w:r>
      <w:proofErr w:type="spellStart"/>
      <w:r w:rsidRPr="007B3BF3">
        <w:rPr>
          <w:szCs w:val="18"/>
        </w:rPr>
        <w:t>Obuotor</w:t>
      </w:r>
      <w:proofErr w:type="spellEnd"/>
      <w:r w:rsidRPr="007B3BF3">
        <w:rPr>
          <w:szCs w:val="18"/>
        </w:rPr>
        <w:t xml:space="preserve">, E., 2019, Iron deficiency, still a rarity in children with sickle cell </w:t>
      </w:r>
      <w:proofErr w:type="spellStart"/>
      <w:r w:rsidRPr="007B3BF3">
        <w:rPr>
          <w:szCs w:val="18"/>
        </w:rPr>
        <w:t>anemia</w:t>
      </w:r>
      <w:proofErr w:type="spellEnd"/>
      <w:r w:rsidRPr="007B3BF3">
        <w:rPr>
          <w:szCs w:val="18"/>
        </w:rPr>
        <w:t xml:space="preserve"> in Ile-Ife, Nigeria, </w:t>
      </w:r>
      <w:proofErr w:type="spellStart"/>
      <w:r w:rsidRPr="007B3BF3">
        <w:rPr>
          <w:szCs w:val="18"/>
        </w:rPr>
        <w:t>Hematology</w:t>
      </w:r>
      <w:proofErr w:type="spellEnd"/>
      <w:r w:rsidRPr="007B3BF3">
        <w:rPr>
          <w:szCs w:val="18"/>
        </w:rPr>
        <w:t xml:space="preserve">, Transfusion and Cell Therapy, 41, 216–221. </w:t>
      </w:r>
    </w:p>
    <w:p w14:paraId="1141C935" w14:textId="77777777" w:rsidR="00C81BA9" w:rsidRPr="007B3BF3" w:rsidRDefault="00C81BA9" w:rsidP="00C81BA9">
      <w:pPr>
        <w:spacing w:line="240" w:lineRule="auto"/>
        <w:ind w:left="426" w:hanging="426"/>
        <w:jc w:val="left"/>
        <w:rPr>
          <w:color w:val="000000"/>
          <w:szCs w:val="18"/>
          <w:lang w:val="es-PE"/>
        </w:rPr>
      </w:pPr>
      <w:r w:rsidRPr="007B3BF3">
        <w:rPr>
          <w:szCs w:val="18"/>
          <w:lang w:val="es-PE"/>
        </w:rPr>
        <w:t xml:space="preserve">Poma, S., Sánchez, P., Suárez, R., Jhoncon, J., Isidro, R., Vargas, E., </w:t>
      </w:r>
      <w:proofErr w:type="spellStart"/>
      <w:r w:rsidRPr="007B3BF3">
        <w:rPr>
          <w:szCs w:val="18"/>
          <w:lang w:val="es-PE"/>
        </w:rPr>
        <w:t>Topalaya</w:t>
      </w:r>
      <w:proofErr w:type="spellEnd"/>
      <w:r w:rsidRPr="007B3BF3">
        <w:rPr>
          <w:szCs w:val="18"/>
          <w:lang w:val="es-PE"/>
        </w:rPr>
        <w:t xml:space="preserve">, C., Chambilla, M., Condore, L., 2023, Educación Alimentaria, Galletas de Atún y Anemia en niños menores de 5 años San Genaro-Chorrillos, </w:t>
      </w:r>
      <w:proofErr w:type="spellStart"/>
      <w:r w:rsidRPr="007B3BF3">
        <w:rPr>
          <w:szCs w:val="18"/>
          <w:lang w:val="es-PE"/>
        </w:rPr>
        <w:t>Qantu</w:t>
      </w:r>
      <w:proofErr w:type="spellEnd"/>
      <w:r w:rsidRPr="007B3BF3">
        <w:rPr>
          <w:szCs w:val="18"/>
          <w:lang w:val="es-PE"/>
        </w:rPr>
        <w:t xml:space="preserve"> </w:t>
      </w:r>
      <w:proofErr w:type="spellStart"/>
      <w:r w:rsidRPr="007B3BF3">
        <w:rPr>
          <w:szCs w:val="18"/>
          <w:lang w:val="es-PE"/>
        </w:rPr>
        <w:t>Yachay</w:t>
      </w:r>
      <w:proofErr w:type="spellEnd"/>
      <w:r w:rsidRPr="007B3BF3">
        <w:rPr>
          <w:szCs w:val="18"/>
          <w:lang w:val="es-PE"/>
        </w:rPr>
        <w:t xml:space="preserve">, 3, 167–185. </w:t>
      </w:r>
    </w:p>
    <w:p w14:paraId="23D0B499" w14:textId="77777777" w:rsidR="00C81BA9" w:rsidRPr="007B3BF3" w:rsidRDefault="00C81BA9" w:rsidP="00C81BA9">
      <w:pPr>
        <w:spacing w:line="240" w:lineRule="auto"/>
        <w:ind w:left="426" w:hanging="426"/>
        <w:jc w:val="left"/>
        <w:rPr>
          <w:color w:val="000000"/>
          <w:szCs w:val="18"/>
          <w:lang w:val="es-PE"/>
        </w:rPr>
      </w:pPr>
      <w:r w:rsidRPr="007B3BF3">
        <w:rPr>
          <w:szCs w:val="18"/>
          <w:lang w:val="es-PE"/>
        </w:rPr>
        <w:t xml:space="preserve">Roldán, A., </w:t>
      </w:r>
      <w:proofErr w:type="spellStart"/>
      <w:r w:rsidRPr="007B3BF3">
        <w:rPr>
          <w:szCs w:val="18"/>
          <w:lang w:val="es-PE"/>
        </w:rPr>
        <w:t>Omote-Sibina</w:t>
      </w:r>
      <w:proofErr w:type="spellEnd"/>
      <w:r w:rsidRPr="007B3BF3">
        <w:rPr>
          <w:szCs w:val="18"/>
          <w:lang w:val="es-PE"/>
        </w:rPr>
        <w:t xml:space="preserve">, J., </w:t>
      </w:r>
      <w:proofErr w:type="spellStart"/>
      <w:r w:rsidRPr="007B3BF3">
        <w:rPr>
          <w:szCs w:val="18"/>
          <w:lang w:val="es-PE"/>
        </w:rPr>
        <w:t>Molleda</w:t>
      </w:r>
      <w:proofErr w:type="spellEnd"/>
      <w:r w:rsidRPr="007B3BF3">
        <w:rPr>
          <w:szCs w:val="18"/>
          <w:lang w:val="es-PE"/>
        </w:rPr>
        <w:t xml:space="preserve"> O., 2021, Elaboración de un hidrolizado de proteína de anchoveta (</w:t>
      </w:r>
      <w:proofErr w:type="spellStart"/>
      <w:r w:rsidRPr="007B3BF3">
        <w:rPr>
          <w:szCs w:val="18"/>
          <w:lang w:val="es-PE"/>
        </w:rPr>
        <w:t>Engraulis</w:t>
      </w:r>
      <w:proofErr w:type="spellEnd"/>
      <w:r w:rsidRPr="007B3BF3">
        <w:rPr>
          <w:szCs w:val="18"/>
          <w:lang w:val="es-PE"/>
        </w:rPr>
        <w:t xml:space="preserve"> </w:t>
      </w:r>
      <w:proofErr w:type="spellStart"/>
      <w:r w:rsidRPr="007B3BF3">
        <w:rPr>
          <w:szCs w:val="18"/>
          <w:lang w:val="es-PE"/>
        </w:rPr>
        <w:t>ringens</w:t>
      </w:r>
      <w:proofErr w:type="spellEnd"/>
      <w:r w:rsidRPr="007B3BF3">
        <w:rPr>
          <w:szCs w:val="18"/>
          <w:lang w:val="es-PE"/>
        </w:rPr>
        <w:t xml:space="preserve">) en polvo, Anales Científicos, 82, 251–261. </w:t>
      </w:r>
    </w:p>
    <w:p w14:paraId="18AD09DB" w14:textId="77777777" w:rsidR="00C81BA9" w:rsidRPr="007B3BF3" w:rsidRDefault="00C81BA9" w:rsidP="00C81BA9">
      <w:pPr>
        <w:spacing w:line="240" w:lineRule="auto"/>
        <w:ind w:left="426" w:hanging="426"/>
        <w:jc w:val="left"/>
        <w:rPr>
          <w:color w:val="000000"/>
          <w:szCs w:val="18"/>
          <w:lang w:val="es-PE"/>
        </w:rPr>
      </w:pPr>
      <w:r w:rsidRPr="007B3BF3">
        <w:rPr>
          <w:szCs w:val="18"/>
          <w:lang w:val="es-PE"/>
        </w:rPr>
        <w:t>UNE, 2022, Código de Ética para la Investigación Universitaria de la Universidad Nacional de Educación Enrique Guzmán y Valle, Universidad Nacional de Educación &lt;</w:t>
      </w:r>
      <w:hyperlink r:id="rId18">
        <w:r w:rsidRPr="007B3BF3">
          <w:rPr>
            <w:color w:val="000000"/>
            <w:szCs w:val="18"/>
            <w:lang w:val="es-PE"/>
          </w:rPr>
          <w:t>une.edu.pe/investigacion/wp-content/uploads/2022/04/Resolucion-N%C2%B0-3314-2019-R-UNE.pdf</w:t>
        </w:r>
      </w:hyperlink>
      <w:r w:rsidRPr="007B3BF3">
        <w:rPr>
          <w:color w:val="000000"/>
          <w:szCs w:val="18"/>
          <w:lang w:val="es-PE"/>
        </w:rPr>
        <w:t xml:space="preserve">&gt; </w:t>
      </w:r>
      <w:proofErr w:type="spellStart"/>
      <w:r w:rsidRPr="007B3BF3">
        <w:rPr>
          <w:color w:val="000000"/>
          <w:szCs w:val="18"/>
          <w:lang w:val="es-PE"/>
        </w:rPr>
        <w:t>accessed</w:t>
      </w:r>
      <w:proofErr w:type="spellEnd"/>
      <w:r w:rsidRPr="007B3BF3">
        <w:rPr>
          <w:color w:val="000000"/>
          <w:szCs w:val="18"/>
          <w:lang w:val="es-PE"/>
        </w:rPr>
        <w:t xml:space="preserve"> 15.02.2022.</w:t>
      </w:r>
    </w:p>
    <w:p w14:paraId="78C41EAD" w14:textId="415FD9D8" w:rsidR="00C81BA9" w:rsidRPr="007B3BF3" w:rsidRDefault="00C81BA9" w:rsidP="00C81BA9">
      <w:pPr>
        <w:pStyle w:val="CETReferencetext"/>
        <w:spacing w:line="240" w:lineRule="auto"/>
        <w:rPr>
          <w:szCs w:val="18"/>
          <w:lang w:val="es-PE"/>
        </w:rPr>
      </w:pPr>
      <w:r w:rsidRPr="007B3BF3">
        <w:rPr>
          <w:szCs w:val="18"/>
          <w:lang w:val="es-PE"/>
        </w:rPr>
        <w:t>Zavaleta, N., Astete, L., 2017, Efecto de la anemia en el desarrollo infantil: consecuencias a largo plazo, Revista Peruana de Medicina Experimental y Salud Pública, 34, 716-722.</w:t>
      </w:r>
    </w:p>
    <w:p w14:paraId="31C09F1F" w14:textId="67B96809" w:rsidR="009B78C1" w:rsidRPr="00F54EE1" w:rsidRDefault="009B78C1" w:rsidP="002C3DE3">
      <w:pPr>
        <w:pStyle w:val="CETBodytext"/>
        <w:spacing w:line="240" w:lineRule="auto"/>
        <w:rPr>
          <w:rFonts w:cs="Arial"/>
          <w:szCs w:val="18"/>
          <w:lang w:val="en-GB"/>
        </w:rPr>
      </w:pPr>
    </w:p>
    <w:sectPr w:rsidR="009B78C1" w:rsidRPr="00F54EE1"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5724" w14:textId="77777777" w:rsidR="00527ACC" w:rsidRDefault="00527ACC" w:rsidP="004F5E36">
      <w:r>
        <w:separator/>
      </w:r>
    </w:p>
  </w:endnote>
  <w:endnote w:type="continuationSeparator" w:id="0">
    <w:p w14:paraId="07793E7E" w14:textId="77777777" w:rsidR="00527ACC" w:rsidRDefault="00527AC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A628" w14:textId="77777777" w:rsidR="00527ACC" w:rsidRDefault="00527ACC" w:rsidP="004F5E36">
      <w:r>
        <w:separator/>
      </w:r>
    </w:p>
  </w:footnote>
  <w:footnote w:type="continuationSeparator" w:id="0">
    <w:p w14:paraId="1EF2C56D" w14:textId="77777777" w:rsidR="00527ACC" w:rsidRDefault="00527AC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62A9"/>
    <w:rsid w:val="00062A9A"/>
    <w:rsid w:val="00065058"/>
    <w:rsid w:val="00086C39"/>
    <w:rsid w:val="000A03B2"/>
    <w:rsid w:val="000D0268"/>
    <w:rsid w:val="000D34BE"/>
    <w:rsid w:val="000E0B3C"/>
    <w:rsid w:val="000E102F"/>
    <w:rsid w:val="000E36F1"/>
    <w:rsid w:val="000E3A73"/>
    <w:rsid w:val="000E414A"/>
    <w:rsid w:val="000E75FD"/>
    <w:rsid w:val="000F093C"/>
    <w:rsid w:val="000F787B"/>
    <w:rsid w:val="00111D5D"/>
    <w:rsid w:val="0012091F"/>
    <w:rsid w:val="00126BC2"/>
    <w:rsid w:val="001308B6"/>
    <w:rsid w:val="0013121F"/>
    <w:rsid w:val="00131FE6"/>
    <w:rsid w:val="0013263F"/>
    <w:rsid w:val="001331DF"/>
    <w:rsid w:val="00134DE4"/>
    <w:rsid w:val="0014034D"/>
    <w:rsid w:val="00140FE3"/>
    <w:rsid w:val="00144D16"/>
    <w:rsid w:val="00150E59"/>
    <w:rsid w:val="00152DE3"/>
    <w:rsid w:val="00164CF9"/>
    <w:rsid w:val="001667A6"/>
    <w:rsid w:val="00174C29"/>
    <w:rsid w:val="0018171E"/>
    <w:rsid w:val="00184AD6"/>
    <w:rsid w:val="001A4AF7"/>
    <w:rsid w:val="001B0349"/>
    <w:rsid w:val="001B1E93"/>
    <w:rsid w:val="001B65C1"/>
    <w:rsid w:val="001C260F"/>
    <w:rsid w:val="001C5C3A"/>
    <w:rsid w:val="001C684B"/>
    <w:rsid w:val="001D0CFB"/>
    <w:rsid w:val="001D21AF"/>
    <w:rsid w:val="001D53FC"/>
    <w:rsid w:val="001F42A5"/>
    <w:rsid w:val="001F7B9D"/>
    <w:rsid w:val="00201C93"/>
    <w:rsid w:val="002224B4"/>
    <w:rsid w:val="002365C8"/>
    <w:rsid w:val="002447EF"/>
    <w:rsid w:val="00251550"/>
    <w:rsid w:val="00263B05"/>
    <w:rsid w:val="0027221A"/>
    <w:rsid w:val="002754C1"/>
    <w:rsid w:val="00275B61"/>
    <w:rsid w:val="00280FAF"/>
    <w:rsid w:val="00282656"/>
    <w:rsid w:val="00296B83"/>
    <w:rsid w:val="002B4015"/>
    <w:rsid w:val="002B78CE"/>
    <w:rsid w:val="002C2FB6"/>
    <w:rsid w:val="002C3DE3"/>
    <w:rsid w:val="002D71BF"/>
    <w:rsid w:val="002E1316"/>
    <w:rsid w:val="002E5FA7"/>
    <w:rsid w:val="002F1A12"/>
    <w:rsid w:val="002F3309"/>
    <w:rsid w:val="003008CE"/>
    <w:rsid w:val="003009B7"/>
    <w:rsid w:val="00300E56"/>
    <w:rsid w:val="0030152C"/>
    <w:rsid w:val="0030469C"/>
    <w:rsid w:val="0032009D"/>
    <w:rsid w:val="00321CA6"/>
    <w:rsid w:val="00323763"/>
    <w:rsid w:val="00323C5F"/>
    <w:rsid w:val="00334C09"/>
    <w:rsid w:val="003723D4"/>
    <w:rsid w:val="003758F6"/>
    <w:rsid w:val="00381905"/>
    <w:rsid w:val="00384CC8"/>
    <w:rsid w:val="003871FD"/>
    <w:rsid w:val="003A1E30"/>
    <w:rsid w:val="003A2829"/>
    <w:rsid w:val="003A7D1C"/>
    <w:rsid w:val="003B12BD"/>
    <w:rsid w:val="003B304B"/>
    <w:rsid w:val="003B3146"/>
    <w:rsid w:val="003B49CD"/>
    <w:rsid w:val="003C3853"/>
    <w:rsid w:val="003D1E02"/>
    <w:rsid w:val="003E6166"/>
    <w:rsid w:val="003F015E"/>
    <w:rsid w:val="00400414"/>
    <w:rsid w:val="00402AD0"/>
    <w:rsid w:val="0041446B"/>
    <w:rsid w:val="0044071E"/>
    <w:rsid w:val="0044329C"/>
    <w:rsid w:val="00445123"/>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E4DD6"/>
    <w:rsid w:val="004F5E36"/>
    <w:rsid w:val="00501387"/>
    <w:rsid w:val="00507B47"/>
    <w:rsid w:val="00507BEF"/>
    <w:rsid w:val="00507CC9"/>
    <w:rsid w:val="005119A5"/>
    <w:rsid w:val="005278B7"/>
    <w:rsid w:val="00527ACC"/>
    <w:rsid w:val="00532016"/>
    <w:rsid w:val="005346C8"/>
    <w:rsid w:val="00543E7D"/>
    <w:rsid w:val="00546E85"/>
    <w:rsid w:val="00547A68"/>
    <w:rsid w:val="005531C9"/>
    <w:rsid w:val="00553EFB"/>
    <w:rsid w:val="00554879"/>
    <w:rsid w:val="0055535B"/>
    <w:rsid w:val="00570C43"/>
    <w:rsid w:val="00592274"/>
    <w:rsid w:val="005A0B8A"/>
    <w:rsid w:val="005A4D93"/>
    <w:rsid w:val="005B2110"/>
    <w:rsid w:val="005B350B"/>
    <w:rsid w:val="005B61E6"/>
    <w:rsid w:val="005C77E1"/>
    <w:rsid w:val="005D668A"/>
    <w:rsid w:val="005D6A2F"/>
    <w:rsid w:val="005D6B5D"/>
    <w:rsid w:val="005E0592"/>
    <w:rsid w:val="005E1A82"/>
    <w:rsid w:val="005E5552"/>
    <w:rsid w:val="005E794C"/>
    <w:rsid w:val="005F0A28"/>
    <w:rsid w:val="005F0E5E"/>
    <w:rsid w:val="00600535"/>
    <w:rsid w:val="00610CD6"/>
    <w:rsid w:val="00620DEE"/>
    <w:rsid w:val="00621F92"/>
    <w:rsid w:val="0062280A"/>
    <w:rsid w:val="006231E1"/>
    <w:rsid w:val="00625639"/>
    <w:rsid w:val="00631B33"/>
    <w:rsid w:val="0064184D"/>
    <w:rsid w:val="006422CC"/>
    <w:rsid w:val="006466F7"/>
    <w:rsid w:val="00651D18"/>
    <w:rsid w:val="00660E3E"/>
    <w:rsid w:val="00662E74"/>
    <w:rsid w:val="00680C23"/>
    <w:rsid w:val="00683E23"/>
    <w:rsid w:val="00687227"/>
    <w:rsid w:val="00693766"/>
    <w:rsid w:val="006A3281"/>
    <w:rsid w:val="006A6DE5"/>
    <w:rsid w:val="006B4888"/>
    <w:rsid w:val="006C2E45"/>
    <w:rsid w:val="006C359C"/>
    <w:rsid w:val="006C5579"/>
    <w:rsid w:val="006D6E8B"/>
    <w:rsid w:val="006D7209"/>
    <w:rsid w:val="006E737D"/>
    <w:rsid w:val="00707DD1"/>
    <w:rsid w:val="00713973"/>
    <w:rsid w:val="007139D4"/>
    <w:rsid w:val="00720A24"/>
    <w:rsid w:val="00732386"/>
    <w:rsid w:val="0073514D"/>
    <w:rsid w:val="007447F3"/>
    <w:rsid w:val="00751903"/>
    <w:rsid w:val="00753B45"/>
    <w:rsid w:val="0075499F"/>
    <w:rsid w:val="0076400B"/>
    <w:rsid w:val="00765A74"/>
    <w:rsid w:val="007661C8"/>
    <w:rsid w:val="0077098D"/>
    <w:rsid w:val="0077480D"/>
    <w:rsid w:val="00785BF9"/>
    <w:rsid w:val="007931FA"/>
    <w:rsid w:val="007A4861"/>
    <w:rsid w:val="007A7BBA"/>
    <w:rsid w:val="007B0C50"/>
    <w:rsid w:val="007B3BF3"/>
    <w:rsid w:val="007B48F9"/>
    <w:rsid w:val="007C1A43"/>
    <w:rsid w:val="007D0951"/>
    <w:rsid w:val="007D60A6"/>
    <w:rsid w:val="007D610D"/>
    <w:rsid w:val="007F10C8"/>
    <w:rsid w:val="0080013E"/>
    <w:rsid w:val="00801759"/>
    <w:rsid w:val="0081320A"/>
    <w:rsid w:val="00813288"/>
    <w:rsid w:val="008168FC"/>
    <w:rsid w:val="00830996"/>
    <w:rsid w:val="008345F1"/>
    <w:rsid w:val="00836293"/>
    <w:rsid w:val="008576E0"/>
    <w:rsid w:val="008608C5"/>
    <w:rsid w:val="00865B07"/>
    <w:rsid w:val="008667EA"/>
    <w:rsid w:val="0087637F"/>
    <w:rsid w:val="0088410E"/>
    <w:rsid w:val="00886CB3"/>
    <w:rsid w:val="00892AD5"/>
    <w:rsid w:val="008A1512"/>
    <w:rsid w:val="008C43FA"/>
    <w:rsid w:val="008D32B9"/>
    <w:rsid w:val="008D433B"/>
    <w:rsid w:val="008D4A16"/>
    <w:rsid w:val="008E5401"/>
    <w:rsid w:val="008E566E"/>
    <w:rsid w:val="008F08C6"/>
    <w:rsid w:val="0090161A"/>
    <w:rsid w:val="00901EB6"/>
    <w:rsid w:val="009041F8"/>
    <w:rsid w:val="00904C62"/>
    <w:rsid w:val="00922BA8"/>
    <w:rsid w:val="00924DAC"/>
    <w:rsid w:val="00927058"/>
    <w:rsid w:val="009308B1"/>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B041A"/>
    <w:rsid w:val="009B78C1"/>
    <w:rsid w:val="009C37C3"/>
    <w:rsid w:val="009C7C86"/>
    <w:rsid w:val="009D2FF7"/>
    <w:rsid w:val="009E7884"/>
    <w:rsid w:val="009E788A"/>
    <w:rsid w:val="009F0E08"/>
    <w:rsid w:val="009F2C6C"/>
    <w:rsid w:val="00A079AE"/>
    <w:rsid w:val="00A1763D"/>
    <w:rsid w:val="00A17CEC"/>
    <w:rsid w:val="00A27EF0"/>
    <w:rsid w:val="00A42361"/>
    <w:rsid w:val="00A50B20"/>
    <w:rsid w:val="00A51390"/>
    <w:rsid w:val="00A60D13"/>
    <w:rsid w:val="00A7223D"/>
    <w:rsid w:val="00A72745"/>
    <w:rsid w:val="00A76EFC"/>
    <w:rsid w:val="00A8630F"/>
    <w:rsid w:val="00A87D50"/>
    <w:rsid w:val="00A91010"/>
    <w:rsid w:val="00A935E6"/>
    <w:rsid w:val="00A97F29"/>
    <w:rsid w:val="00AA56CB"/>
    <w:rsid w:val="00AA702E"/>
    <w:rsid w:val="00AA7D26"/>
    <w:rsid w:val="00AB0964"/>
    <w:rsid w:val="00AB5011"/>
    <w:rsid w:val="00AC7368"/>
    <w:rsid w:val="00AD16B9"/>
    <w:rsid w:val="00AE377D"/>
    <w:rsid w:val="00AF0EBA"/>
    <w:rsid w:val="00AF2463"/>
    <w:rsid w:val="00B02C8A"/>
    <w:rsid w:val="00B17FBD"/>
    <w:rsid w:val="00B315A6"/>
    <w:rsid w:val="00B31813"/>
    <w:rsid w:val="00B33365"/>
    <w:rsid w:val="00B41747"/>
    <w:rsid w:val="00B57B36"/>
    <w:rsid w:val="00B57E6F"/>
    <w:rsid w:val="00B8686D"/>
    <w:rsid w:val="00B93F69"/>
    <w:rsid w:val="00BB1DDC"/>
    <w:rsid w:val="00BC30C9"/>
    <w:rsid w:val="00BC4EA2"/>
    <w:rsid w:val="00BD077D"/>
    <w:rsid w:val="00BD0FBC"/>
    <w:rsid w:val="00BE2EF8"/>
    <w:rsid w:val="00BE3E58"/>
    <w:rsid w:val="00BF13CE"/>
    <w:rsid w:val="00C01616"/>
    <w:rsid w:val="00C0162B"/>
    <w:rsid w:val="00C068ED"/>
    <w:rsid w:val="00C22E0C"/>
    <w:rsid w:val="00C345B1"/>
    <w:rsid w:val="00C35397"/>
    <w:rsid w:val="00C40142"/>
    <w:rsid w:val="00C52C3C"/>
    <w:rsid w:val="00C57182"/>
    <w:rsid w:val="00C57863"/>
    <w:rsid w:val="00C640AF"/>
    <w:rsid w:val="00C655FD"/>
    <w:rsid w:val="00C75407"/>
    <w:rsid w:val="00C81BA9"/>
    <w:rsid w:val="00C841C6"/>
    <w:rsid w:val="00C86BE0"/>
    <w:rsid w:val="00C870A8"/>
    <w:rsid w:val="00C94434"/>
    <w:rsid w:val="00CA0D75"/>
    <w:rsid w:val="00CA1C95"/>
    <w:rsid w:val="00CA1DC1"/>
    <w:rsid w:val="00CA5A9C"/>
    <w:rsid w:val="00CC2CD5"/>
    <w:rsid w:val="00CC4C20"/>
    <w:rsid w:val="00CD3517"/>
    <w:rsid w:val="00CD5FE2"/>
    <w:rsid w:val="00CE7C68"/>
    <w:rsid w:val="00D02B4C"/>
    <w:rsid w:val="00D040C4"/>
    <w:rsid w:val="00D20AD1"/>
    <w:rsid w:val="00D2582C"/>
    <w:rsid w:val="00D46B7E"/>
    <w:rsid w:val="00D54470"/>
    <w:rsid w:val="00D57C84"/>
    <w:rsid w:val="00D6057D"/>
    <w:rsid w:val="00D63CC5"/>
    <w:rsid w:val="00D71640"/>
    <w:rsid w:val="00D773ED"/>
    <w:rsid w:val="00D836C5"/>
    <w:rsid w:val="00D842BD"/>
    <w:rsid w:val="00D84576"/>
    <w:rsid w:val="00DA1399"/>
    <w:rsid w:val="00DA24C6"/>
    <w:rsid w:val="00DA4D7B"/>
    <w:rsid w:val="00DC241F"/>
    <w:rsid w:val="00DC2840"/>
    <w:rsid w:val="00DC73EE"/>
    <w:rsid w:val="00DD271C"/>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D104F"/>
    <w:rsid w:val="00EE0131"/>
    <w:rsid w:val="00EE17B0"/>
    <w:rsid w:val="00EE2A72"/>
    <w:rsid w:val="00EF06D9"/>
    <w:rsid w:val="00EF298F"/>
    <w:rsid w:val="00EF4A22"/>
    <w:rsid w:val="00EF7B7B"/>
    <w:rsid w:val="00F02E1C"/>
    <w:rsid w:val="00F3049E"/>
    <w:rsid w:val="00F30C64"/>
    <w:rsid w:val="00F32BA2"/>
    <w:rsid w:val="00F32CDB"/>
    <w:rsid w:val="00F4069C"/>
    <w:rsid w:val="00F41EE4"/>
    <w:rsid w:val="00F54EE1"/>
    <w:rsid w:val="00F565FE"/>
    <w:rsid w:val="00F63A70"/>
    <w:rsid w:val="00F63D8C"/>
    <w:rsid w:val="00F66511"/>
    <w:rsid w:val="00F7534E"/>
    <w:rsid w:val="00F93EDF"/>
    <w:rsid w:val="00FA1802"/>
    <w:rsid w:val="00FA21D0"/>
    <w:rsid w:val="00FA5F5F"/>
    <w:rsid w:val="00FB730C"/>
    <w:rsid w:val="00FC2695"/>
    <w:rsid w:val="00FC3E03"/>
    <w:rsid w:val="00FC3FC1"/>
    <w:rsid w:val="00FD4A1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UnresolvedMention">
    <w:name w:val="Unresolved Mention"/>
    <w:basedOn w:val="DefaultParagraphFont"/>
    <w:uiPriority w:val="99"/>
    <w:semiHidden/>
    <w:unhideWhenUsed/>
    <w:rsid w:val="00275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0038">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096588053">
      <w:bodyDiv w:val="1"/>
      <w:marLeft w:val="0"/>
      <w:marRight w:val="0"/>
      <w:marTop w:val="0"/>
      <w:marBottom w:val="0"/>
      <w:divBdr>
        <w:top w:val="none" w:sz="0" w:space="0" w:color="auto"/>
        <w:left w:val="none" w:sz="0" w:space="0" w:color="auto"/>
        <w:bottom w:val="none" w:sz="0" w:space="0" w:color="auto"/>
        <w:right w:val="none" w:sz="0" w:space="0" w:color="auto"/>
      </w:divBdr>
      <w:divsChild>
        <w:div w:id="67116700">
          <w:marLeft w:val="0"/>
          <w:marRight w:val="0"/>
          <w:marTop w:val="0"/>
          <w:marBottom w:val="0"/>
          <w:divBdr>
            <w:top w:val="none" w:sz="0" w:space="0" w:color="auto"/>
            <w:left w:val="none" w:sz="0" w:space="0" w:color="auto"/>
            <w:bottom w:val="none" w:sz="0" w:space="0" w:color="auto"/>
            <w:right w:val="none" w:sz="0" w:space="0" w:color="auto"/>
          </w:divBdr>
          <w:divsChild>
            <w:div w:id="291056789">
              <w:marLeft w:val="0"/>
              <w:marRight w:val="0"/>
              <w:marTop w:val="0"/>
              <w:marBottom w:val="0"/>
              <w:divBdr>
                <w:top w:val="none" w:sz="0" w:space="0" w:color="auto"/>
                <w:left w:val="none" w:sz="0" w:space="0" w:color="auto"/>
                <w:bottom w:val="none" w:sz="0" w:space="0" w:color="auto"/>
                <w:right w:val="none" w:sz="0" w:space="0" w:color="auto"/>
              </w:divBdr>
            </w:div>
            <w:div w:id="1523130404">
              <w:marLeft w:val="0"/>
              <w:marRight w:val="0"/>
              <w:marTop w:val="0"/>
              <w:marBottom w:val="0"/>
              <w:divBdr>
                <w:top w:val="none" w:sz="0" w:space="0" w:color="auto"/>
                <w:left w:val="none" w:sz="0" w:space="0" w:color="auto"/>
                <w:bottom w:val="none" w:sz="0" w:space="0" w:color="auto"/>
                <w:right w:val="none" w:sz="0" w:space="0" w:color="auto"/>
              </w:divBdr>
            </w:div>
            <w:div w:id="942764857">
              <w:marLeft w:val="0"/>
              <w:marRight w:val="0"/>
              <w:marTop w:val="0"/>
              <w:marBottom w:val="0"/>
              <w:divBdr>
                <w:top w:val="none" w:sz="0" w:space="0" w:color="auto"/>
                <w:left w:val="none" w:sz="0" w:space="0" w:color="auto"/>
                <w:bottom w:val="none" w:sz="0" w:space="0" w:color="auto"/>
                <w:right w:val="none" w:sz="0" w:space="0" w:color="auto"/>
              </w:divBdr>
              <w:divsChild>
                <w:div w:id="47306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881">
          <w:marLeft w:val="0"/>
          <w:marRight w:val="0"/>
          <w:marTop w:val="0"/>
          <w:marBottom w:val="0"/>
          <w:divBdr>
            <w:top w:val="none" w:sz="0" w:space="0" w:color="auto"/>
            <w:left w:val="none" w:sz="0" w:space="0" w:color="auto"/>
            <w:bottom w:val="none" w:sz="0" w:space="0" w:color="auto"/>
            <w:right w:val="none" w:sz="0" w:space="0" w:color="auto"/>
          </w:divBdr>
          <w:divsChild>
            <w:div w:id="1308975151">
              <w:marLeft w:val="0"/>
              <w:marRight w:val="0"/>
              <w:marTop w:val="0"/>
              <w:marBottom w:val="0"/>
              <w:divBdr>
                <w:top w:val="none" w:sz="0" w:space="0" w:color="auto"/>
                <w:left w:val="none" w:sz="0" w:space="0" w:color="auto"/>
                <w:bottom w:val="none" w:sz="0" w:space="0" w:color="auto"/>
                <w:right w:val="none" w:sz="0" w:space="0" w:color="auto"/>
              </w:divBdr>
              <w:divsChild>
                <w:div w:id="656694561">
                  <w:marLeft w:val="0"/>
                  <w:marRight w:val="0"/>
                  <w:marTop w:val="0"/>
                  <w:marBottom w:val="0"/>
                  <w:divBdr>
                    <w:top w:val="none" w:sz="0" w:space="0" w:color="auto"/>
                    <w:left w:val="none" w:sz="0" w:space="0" w:color="auto"/>
                    <w:bottom w:val="none" w:sz="0" w:space="0" w:color="auto"/>
                    <w:right w:val="none" w:sz="0" w:space="0" w:color="auto"/>
                  </w:divBdr>
                  <w:divsChild>
                    <w:div w:id="15534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026540">
      <w:bodyDiv w:val="1"/>
      <w:marLeft w:val="0"/>
      <w:marRight w:val="0"/>
      <w:marTop w:val="0"/>
      <w:marBottom w:val="0"/>
      <w:divBdr>
        <w:top w:val="none" w:sz="0" w:space="0" w:color="auto"/>
        <w:left w:val="none" w:sz="0" w:space="0" w:color="auto"/>
        <w:bottom w:val="none" w:sz="0" w:space="0" w:color="auto"/>
        <w:right w:val="none" w:sz="0" w:space="0" w:color="auto"/>
      </w:divBdr>
      <w:divsChild>
        <w:div w:id="1945847488">
          <w:marLeft w:val="0"/>
          <w:marRight w:val="0"/>
          <w:marTop w:val="0"/>
          <w:marBottom w:val="0"/>
          <w:divBdr>
            <w:top w:val="none" w:sz="0" w:space="0" w:color="auto"/>
            <w:left w:val="none" w:sz="0" w:space="0" w:color="auto"/>
            <w:bottom w:val="none" w:sz="0" w:space="0" w:color="auto"/>
            <w:right w:val="none" w:sz="0" w:space="0" w:color="auto"/>
          </w:divBdr>
          <w:divsChild>
            <w:div w:id="670184177">
              <w:marLeft w:val="0"/>
              <w:marRight w:val="0"/>
              <w:marTop w:val="0"/>
              <w:marBottom w:val="0"/>
              <w:divBdr>
                <w:top w:val="none" w:sz="0" w:space="0" w:color="auto"/>
                <w:left w:val="none" w:sz="0" w:space="0" w:color="auto"/>
                <w:bottom w:val="none" w:sz="0" w:space="0" w:color="auto"/>
                <w:right w:val="none" w:sz="0" w:space="0" w:color="auto"/>
              </w:divBdr>
            </w:div>
            <w:div w:id="1503857487">
              <w:marLeft w:val="0"/>
              <w:marRight w:val="0"/>
              <w:marTop w:val="0"/>
              <w:marBottom w:val="0"/>
              <w:divBdr>
                <w:top w:val="none" w:sz="0" w:space="0" w:color="auto"/>
                <w:left w:val="none" w:sz="0" w:space="0" w:color="auto"/>
                <w:bottom w:val="none" w:sz="0" w:space="0" w:color="auto"/>
                <w:right w:val="none" w:sz="0" w:space="0" w:color="auto"/>
              </w:divBdr>
            </w:div>
            <w:div w:id="2132941275">
              <w:marLeft w:val="0"/>
              <w:marRight w:val="0"/>
              <w:marTop w:val="0"/>
              <w:marBottom w:val="0"/>
              <w:divBdr>
                <w:top w:val="none" w:sz="0" w:space="0" w:color="auto"/>
                <w:left w:val="none" w:sz="0" w:space="0" w:color="auto"/>
                <w:bottom w:val="none" w:sz="0" w:space="0" w:color="auto"/>
                <w:right w:val="none" w:sz="0" w:space="0" w:color="auto"/>
              </w:divBdr>
              <w:divsChild>
                <w:div w:id="16988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19063">
          <w:marLeft w:val="0"/>
          <w:marRight w:val="0"/>
          <w:marTop w:val="0"/>
          <w:marBottom w:val="0"/>
          <w:divBdr>
            <w:top w:val="none" w:sz="0" w:space="0" w:color="auto"/>
            <w:left w:val="none" w:sz="0" w:space="0" w:color="auto"/>
            <w:bottom w:val="none" w:sz="0" w:space="0" w:color="auto"/>
            <w:right w:val="none" w:sz="0" w:space="0" w:color="auto"/>
          </w:divBdr>
          <w:divsChild>
            <w:div w:id="378476898">
              <w:marLeft w:val="0"/>
              <w:marRight w:val="0"/>
              <w:marTop w:val="0"/>
              <w:marBottom w:val="0"/>
              <w:divBdr>
                <w:top w:val="none" w:sz="0" w:space="0" w:color="auto"/>
                <w:left w:val="none" w:sz="0" w:space="0" w:color="auto"/>
                <w:bottom w:val="none" w:sz="0" w:space="0" w:color="auto"/>
                <w:right w:val="none" w:sz="0" w:space="0" w:color="auto"/>
              </w:divBdr>
              <w:divsChild>
                <w:div w:id="1739743396">
                  <w:marLeft w:val="0"/>
                  <w:marRight w:val="0"/>
                  <w:marTop w:val="0"/>
                  <w:marBottom w:val="0"/>
                  <w:divBdr>
                    <w:top w:val="none" w:sz="0" w:space="0" w:color="auto"/>
                    <w:left w:val="none" w:sz="0" w:space="0" w:color="auto"/>
                    <w:bottom w:val="none" w:sz="0" w:space="0" w:color="auto"/>
                    <w:right w:val="none" w:sz="0" w:space="0" w:color="auto"/>
                  </w:divBdr>
                  <w:divsChild>
                    <w:div w:id="15749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hyperlink" Target="https://www.une.edu.pe/investigacion/wp-content/uploads/2022/04/Resolucion-N%C2%B0-3314-2019-R-UN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www.digesa.minsa.gob.pe/orientacion/NORMA%20DE%20PANADERIAS.pdf" TargetMode="External"/><Relationship Id="rId2" Type="http://schemas.openxmlformats.org/officeDocument/2006/relationships/numbering" Target="numbering.xml"/><Relationship Id="rId16" Type="http://schemas.openxmlformats.org/officeDocument/2006/relationships/hyperlink" Target="http://www.digesa.minsa.gob.pe/norma_consulta/Proy_RM615-200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repositorio.lamolina.edu.pe/handle/20.500.12996/1928" TargetMode="External"/><Relationship Id="rId10" Type="http://schemas.openxmlformats.org/officeDocument/2006/relationships/hyperlink" Target="mailto:*Corresponding%20author:%20jjhoncon@une.edu.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ciencedirect.com/book/9781845690519/benders-dictionary-of-nutrition-and-food-technolog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97AB3-F870-46AC-A203-C19E9BB2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2461</Words>
  <Characters>13540</Characters>
  <Application>Microsoft Office Word</Application>
  <DocSecurity>0</DocSecurity>
  <Lines>112</Lines>
  <Paragraphs>31</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Jorge Jhoncon</cp:lastModifiedBy>
  <cp:revision>3</cp:revision>
  <cp:lastPrinted>2025-03-06T14:15:00Z</cp:lastPrinted>
  <dcterms:created xsi:type="dcterms:W3CDTF">2025-03-06T14:13:00Z</dcterms:created>
  <dcterms:modified xsi:type="dcterms:W3CDTF">2025-03-06T14:27:00Z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